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C7028C">
      <w:pPr>
        <w:spacing w:line="60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val="en-US" w:eastAsia="zh-CN"/>
        </w:rPr>
        <w:t>江苏省</w:t>
      </w:r>
      <w:r>
        <w:rPr>
          <w:rFonts w:hint="default" w:ascii="Times New Roman" w:hAnsi="Times New Roman" w:eastAsia="方正小标宋_GBK" w:cs="Times New Roman"/>
          <w:sz w:val="44"/>
          <w:szCs w:val="44"/>
        </w:rPr>
        <w:t>地方标准</w:t>
      </w:r>
    </w:p>
    <w:p w14:paraId="095E0401">
      <w:pPr>
        <w:spacing w:line="600" w:lineRule="exact"/>
        <w:jc w:val="center"/>
        <w:outlineLvl w:val="0"/>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《基于智慧化村</w:t>
      </w:r>
      <w:r>
        <w:rPr>
          <w:rFonts w:hint="default" w:ascii="Times New Roman" w:hAnsi="Times New Roman" w:eastAsia="方正小标宋_GBK" w:cs="Times New Roman"/>
          <w:sz w:val="44"/>
          <w:szCs w:val="44"/>
          <w:lang w:val="en-US" w:eastAsia="zh-CN"/>
        </w:rPr>
        <w:t>卫生</w:t>
      </w:r>
      <w:r>
        <w:rPr>
          <w:rFonts w:hint="default" w:ascii="Times New Roman" w:hAnsi="Times New Roman" w:eastAsia="方正小标宋_GBK" w:cs="Times New Roman"/>
          <w:sz w:val="44"/>
          <w:szCs w:val="44"/>
        </w:rPr>
        <w:t>室的老年人心房颤动管理</w:t>
      </w:r>
      <w:r>
        <w:rPr>
          <w:rFonts w:hint="default" w:ascii="Times New Roman" w:hAnsi="Times New Roman" w:eastAsia="方正小标宋_GBK" w:cs="Times New Roman"/>
          <w:sz w:val="44"/>
          <w:szCs w:val="44"/>
          <w:lang w:val="en-US" w:eastAsia="zh-CN"/>
        </w:rPr>
        <w:t>与</w:t>
      </w:r>
      <w:r>
        <w:rPr>
          <w:rFonts w:hint="default" w:ascii="Times New Roman" w:hAnsi="Times New Roman" w:eastAsia="方正小标宋_GBK" w:cs="Times New Roman"/>
          <w:sz w:val="44"/>
          <w:szCs w:val="44"/>
        </w:rPr>
        <w:t>服务规范》编制说明</w:t>
      </w:r>
    </w:p>
    <w:p w14:paraId="256E5AD8">
      <w:pPr>
        <w:rPr>
          <w:rFonts w:hint="default" w:ascii="Times New Roman" w:hAnsi="Times New Roman" w:cs="Times New Roman"/>
          <w:color w:val="000000"/>
          <w:sz w:val="32"/>
          <w:szCs w:val="32"/>
        </w:rPr>
      </w:pPr>
    </w:p>
    <w:p w14:paraId="143CC6D1">
      <w:pPr>
        <w:numPr>
          <w:ilvl w:val="0"/>
          <w:numId w:val="1"/>
        </w:numPr>
        <w:autoSpaceDE w:val="0"/>
        <w:autoSpaceDN w:val="0"/>
        <w:adjustRightInd w:val="0"/>
        <w:spacing w:line="560" w:lineRule="exact"/>
        <w:ind w:firstLine="643" w:firstLineChars="200"/>
        <w:outlineLvl w:val="0"/>
        <w:rPr>
          <w:rFonts w:hint="default" w:ascii="Times New Roman" w:hAnsi="Times New Roman" w:eastAsia="黑体" w:cs="Times New Roman"/>
          <w:b/>
          <w:color w:val="000000"/>
          <w:sz w:val="32"/>
          <w:szCs w:val="32"/>
          <w:lang w:val="en-US" w:eastAsia="zh-CN"/>
        </w:rPr>
      </w:pPr>
      <w:r>
        <w:rPr>
          <w:rFonts w:hint="default" w:ascii="Times New Roman" w:hAnsi="Times New Roman" w:eastAsia="黑体" w:cs="Times New Roman"/>
          <w:b/>
          <w:color w:val="000000"/>
          <w:sz w:val="32"/>
          <w:szCs w:val="32"/>
          <w:lang w:val="en-US" w:eastAsia="zh-CN"/>
        </w:rPr>
        <w:t>目的意义</w:t>
      </w:r>
    </w:p>
    <w:p w14:paraId="47078CC6">
      <w:pPr>
        <w:keepNext w:val="0"/>
        <w:keepLines w:val="0"/>
        <w:pageBreakBefore w:val="0"/>
        <w:widowControl w:val="0"/>
        <w:kinsoku/>
        <w:wordWrap/>
        <w:overflowPunct/>
        <w:topLinePunct w:val="0"/>
        <w:autoSpaceDE/>
        <w:autoSpaceDN/>
        <w:bidi w:val="0"/>
        <w:snapToGrid/>
        <w:spacing w:line="440" w:lineRule="exact"/>
        <w:ind w:firstLine="560" w:firstLineChars="200"/>
        <w:textAlignment w:val="auto"/>
        <w:rPr>
          <w:rFonts w:hint="eastAsia" w:ascii="仿宋" w:hAnsi="仿宋" w:eastAsia="仿宋" w:cs="仿宋"/>
          <w:bCs/>
          <w:kern w:val="0"/>
          <w:sz w:val="28"/>
          <w:szCs w:val="28"/>
        </w:rPr>
      </w:pPr>
      <w:r>
        <w:rPr>
          <w:rFonts w:hint="eastAsia" w:ascii="仿宋" w:hAnsi="仿宋" w:eastAsia="仿宋" w:cs="仿宋"/>
          <w:bCs/>
          <w:kern w:val="0"/>
          <w:sz w:val="28"/>
          <w:szCs w:val="28"/>
        </w:rPr>
        <w:t>心房颤动是临床上最常见的心律失常之一，2018 年中国心血管病报告提示我国心房颤动患者已超1000万，而老年心房颤动患者数量仍在持续增加。该疾病易诱发心力衰竭和脑梗死，住院率达10%-40%，是致残致死的常见原因，严重影响患者生活质量，增加患者的经济和精神负担。另外，心房颤动好发于老年人群，而老年人群容易同时合并高血压、糖尿病、冠心病、脑卒中等慢性疾病，对心房颤动患者的智慧化全方位管理可同时覆盖高血压、糖尿病、冠心病、脑卒中等慢性疾病的规范化诊治。</w:t>
      </w:r>
    </w:p>
    <w:p w14:paraId="6B211F20">
      <w:pPr>
        <w:keepNext w:val="0"/>
        <w:keepLines w:val="0"/>
        <w:pageBreakBefore w:val="0"/>
        <w:widowControl w:val="0"/>
        <w:kinsoku/>
        <w:wordWrap/>
        <w:overflowPunct/>
        <w:topLinePunct w:val="0"/>
        <w:autoSpaceDE/>
        <w:autoSpaceDN/>
        <w:bidi w:val="0"/>
        <w:snapToGrid/>
        <w:spacing w:line="440" w:lineRule="exact"/>
        <w:ind w:firstLine="560" w:firstLineChars="200"/>
        <w:textAlignment w:val="auto"/>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按照国家卫生健康委2019发布的《心房颤动分级诊疗技术方案》，房颤的随访和接续治疗等慢病管理工作应该下沉在社区卫生服务中心进行。基层医疗在今后将是房颤患者慢病管理的“主战场”。规范的卫生室管理是提高房颤患者治疗有效性和依从性必不可少的环节，而当前基层医疗又是我国医疗系统中较为薄弱的环节。对于心房颤动等慢性病的基层管理，发达国家和国际组织探索起步较早，已形成多种经实践检验颇具成效的、国际社会认可的慢病管理模式。如何根据我国现实情况，并借鉴国际慢性病管理模式的经验，探索出一套科学且有效的基层心房颤动等慢性病管理与服务模式，提高基层慢性病防控和居民健康自主管理能力，是现阶段我国医疗健康和社会领域亟待解决的重大问题。</w:t>
      </w:r>
    </w:p>
    <w:p w14:paraId="73587886">
      <w:pPr>
        <w:keepNext w:val="0"/>
        <w:keepLines w:val="0"/>
        <w:pageBreakBefore w:val="0"/>
        <w:widowControl w:val="0"/>
        <w:kinsoku/>
        <w:wordWrap/>
        <w:overflowPunct/>
        <w:topLinePunct w:val="0"/>
        <w:autoSpaceDE/>
        <w:autoSpaceDN/>
        <w:bidi w:val="0"/>
        <w:snapToGrid/>
        <w:spacing w:line="440" w:lineRule="exact"/>
        <w:ind w:firstLine="560" w:firstLineChars="200"/>
        <w:textAlignment w:val="auto"/>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中共中央办公厅、国务院办公厅2023年印发的《关于进一步深化改革促进乡村医疗卫生体系健康发展的意见》中指出，要大力推进“互联网+医疗健康”，构建乡村远程医疗服务体系，推广远程会诊、预约转诊、互联网复诊、远程检查，加快推动人工智能辅助在乡村医疗卫生机构的配置应用，提升家庭医生签约和乡村医疗卫生服务数字化、智能化水平。关于心房颤动的智慧化的基层管理，目前主要集中在大医院指导下的社区-家庭慢性心血管病远程随访管理模式，医生直接对患者进行指导。但是，我国人口尤其是老年人文化程度不高，对远程指导的接受度不够。另外，患者缺乏医学知识，对病情的掌握度不够，且每次病情变化都需要大医院的医生指导，显著增加的医生的负担。基于以上两点，目前的模式可推广性受到了限制。本方案以智慧化村卫生室为衔接点实现对老年人心房颤动的管理与服务。</w:t>
      </w:r>
    </w:p>
    <w:p w14:paraId="08DB6757">
      <w:pPr>
        <w:keepNext w:val="0"/>
        <w:keepLines w:val="0"/>
        <w:pageBreakBefore w:val="0"/>
        <w:widowControl w:val="0"/>
        <w:kinsoku/>
        <w:wordWrap/>
        <w:overflowPunct/>
        <w:topLinePunct w:val="0"/>
        <w:autoSpaceDE/>
        <w:autoSpaceDN/>
        <w:bidi w:val="0"/>
        <w:snapToGrid/>
        <w:spacing w:line="440" w:lineRule="exact"/>
        <w:ind w:firstLine="560" w:firstLineChars="200"/>
        <w:textAlignment w:val="auto"/>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本标准将面向江苏地区的基层社区和农村示范点进行智慧化心房颤动管理的应用示范，这些模式的成功应用推广将优化医疗、康复、护理、养老资源的配置；提升基层医务人员的心血管疾病相关知识；实现基层心房颤动慢病全流程、个体化管理能力；减轻患者的经济和精神负担，降低社会负担。</w:t>
      </w:r>
    </w:p>
    <w:p w14:paraId="607A0694">
      <w:pPr>
        <w:autoSpaceDE w:val="0"/>
        <w:autoSpaceDN w:val="0"/>
        <w:adjustRightInd w:val="0"/>
        <w:spacing w:line="560" w:lineRule="exact"/>
        <w:ind w:firstLine="643" w:firstLineChars="200"/>
        <w:outlineLvl w:val="0"/>
        <w:rPr>
          <w:rFonts w:hint="default" w:ascii="Times New Roman" w:hAnsi="Times New Roman" w:eastAsia="黑体" w:cs="Times New Roman"/>
          <w:b/>
          <w:color w:val="000000"/>
          <w:sz w:val="32"/>
          <w:szCs w:val="32"/>
        </w:rPr>
      </w:pPr>
      <w:r>
        <w:rPr>
          <w:rFonts w:hint="default" w:ascii="Times New Roman" w:hAnsi="Times New Roman" w:eastAsia="黑体" w:cs="Times New Roman"/>
          <w:b/>
          <w:color w:val="000000"/>
          <w:sz w:val="32"/>
          <w:szCs w:val="32"/>
          <w:lang w:val="en-US" w:eastAsia="zh-CN"/>
        </w:rPr>
        <w:t>二</w:t>
      </w:r>
      <w:r>
        <w:rPr>
          <w:rFonts w:hint="default" w:ascii="Times New Roman" w:hAnsi="Times New Roman" w:eastAsia="黑体" w:cs="Times New Roman"/>
          <w:b/>
          <w:color w:val="000000"/>
          <w:sz w:val="32"/>
          <w:szCs w:val="32"/>
        </w:rPr>
        <w:t>、任务来源</w:t>
      </w:r>
    </w:p>
    <w:p w14:paraId="51C408FB">
      <w:pPr>
        <w:keepNext w:val="0"/>
        <w:keepLines w:val="0"/>
        <w:pageBreakBefore w:val="0"/>
        <w:widowControl w:val="0"/>
        <w:kinsoku/>
        <w:wordWrap/>
        <w:overflowPunct/>
        <w:topLinePunct w:val="0"/>
        <w:autoSpaceDE/>
        <w:autoSpaceDN/>
        <w:bidi w:val="0"/>
        <w:snapToGrid/>
        <w:spacing w:line="440" w:lineRule="exact"/>
        <w:ind w:firstLine="560" w:firstLineChars="200"/>
        <w:textAlignment w:val="auto"/>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 xml:space="preserve">为切实保障农村老年心房颤动患者的健康，打造基于人工智能和远程医疗的智慧化村卫生室，改善老年心房颤动患者管理模式，建立“预防、监测、评估、预警、干预、康复”六位一体的老年心房颤动管理模式化、流程智能化、诊疗同质化、场景多元化、干预精准化的远程管理和智能康复协同发展体系，引导农村老年心房颤动患者管理的标准化、同质化发展，由江苏省卫生健康委员会提出，泰州市人民医院、江苏省人民医院共同承担《基于智慧化村卫生室的老年人心房颤动管理与服务规范》江苏省地方标准制订任务。本项目制定的《基于智慧化村卫生室的老年人心房颤动管理与服务规范》于2024年8月19日在《省市场监管局关于下达 </w:t>
      </w:r>
      <w:r>
        <w:rPr>
          <w:rFonts w:hint="default" w:ascii="仿宋" w:hAnsi="仿宋" w:eastAsia="仿宋" w:cs="仿宋"/>
          <w:bCs/>
          <w:kern w:val="0"/>
          <w:sz w:val="28"/>
          <w:szCs w:val="28"/>
          <w:lang w:val="en-US" w:eastAsia="zh-CN"/>
        </w:rPr>
        <w:t>2024 年度江苏省地方标准制修订计划的通知</w:t>
      </w:r>
      <w:r>
        <w:rPr>
          <w:rFonts w:hint="eastAsia" w:ascii="仿宋" w:hAnsi="仿宋" w:eastAsia="仿宋" w:cs="仿宋"/>
          <w:bCs/>
          <w:kern w:val="0"/>
          <w:sz w:val="28"/>
          <w:szCs w:val="28"/>
          <w:lang w:val="en-US" w:eastAsia="zh-CN"/>
        </w:rPr>
        <w:t>》的标准中立项位于2024-232号。</w:t>
      </w:r>
    </w:p>
    <w:p w14:paraId="77062975">
      <w:pPr>
        <w:keepNext w:val="0"/>
        <w:keepLines w:val="0"/>
        <w:pageBreakBefore w:val="0"/>
        <w:widowControl w:val="0"/>
        <w:kinsoku/>
        <w:wordWrap/>
        <w:overflowPunct/>
        <w:topLinePunct w:val="0"/>
        <w:autoSpaceDE w:val="0"/>
        <w:autoSpaceDN w:val="0"/>
        <w:bidi w:val="0"/>
        <w:adjustRightInd w:val="0"/>
        <w:spacing w:line="440" w:lineRule="exact"/>
        <w:ind w:firstLine="643" w:firstLineChars="200"/>
        <w:textAlignment w:val="auto"/>
        <w:outlineLvl w:val="0"/>
        <w:rPr>
          <w:rFonts w:hint="default" w:ascii="Times New Roman" w:hAnsi="Times New Roman" w:eastAsia="黑体" w:cs="Times New Roman"/>
          <w:b/>
          <w:color w:val="000000"/>
          <w:sz w:val="32"/>
          <w:szCs w:val="32"/>
        </w:rPr>
      </w:pPr>
      <w:bookmarkStart w:id="0" w:name="_Toc362008556"/>
      <w:r>
        <w:rPr>
          <w:rFonts w:hint="default" w:ascii="Times New Roman" w:hAnsi="Times New Roman" w:eastAsia="黑体" w:cs="Times New Roman"/>
          <w:b/>
          <w:color w:val="000000"/>
          <w:sz w:val="32"/>
          <w:szCs w:val="32"/>
          <w:lang w:val="en-US" w:eastAsia="zh-CN"/>
        </w:rPr>
        <w:t>三</w:t>
      </w:r>
      <w:r>
        <w:rPr>
          <w:rFonts w:hint="default" w:ascii="Times New Roman" w:hAnsi="Times New Roman" w:eastAsia="黑体" w:cs="Times New Roman"/>
          <w:b/>
          <w:color w:val="000000"/>
          <w:sz w:val="32"/>
          <w:szCs w:val="32"/>
        </w:rPr>
        <w:t>、编制过程</w:t>
      </w:r>
    </w:p>
    <w:p w14:paraId="049DD52A">
      <w:pPr>
        <w:keepNext w:val="0"/>
        <w:keepLines w:val="0"/>
        <w:pageBreakBefore w:val="0"/>
        <w:widowControl w:val="0"/>
        <w:kinsoku/>
        <w:wordWrap/>
        <w:overflowPunct/>
        <w:topLinePunct w:val="0"/>
        <w:autoSpaceDE w:val="0"/>
        <w:autoSpaceDN w:val="0"/>
        <w:bidi w:val="0"/>
        <w:adjustRightInd w:val="0"/>
        <w:spacing w:line="440" w:lineRule="exact"/>
        <w:ind w:firstLine="562" w:firstLineChars="200"/>
        <w:textAlignment w:val="auto"/>
        <w:outlineLvl w:val="1"/>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（一）成立起草小组（2024年8月）</w:t>
      </w:r>
    </w:p>
    <w:p w14:paraId="202052BA">
      <w:pPr>
        <w:pStyle w:val="10"/>
        <w:keepNext w:val="0"/>
        <w:keepLines w:val="0"/>
        <w:pageBreakBefore w:val="0"/>
        <w:widowControl w:val="0"/>
        <w:kinsoku/>
        <w:wordWrap/>
        <w:overflowPunct/>
        <w:topLinePunct w:val="0"/>
        <w:bidi w:val="0"/>
        <w:spacing w:line="44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基于智慧化村卫生室的老年人心房颤动管理与服务规范》在泰州市标的基础上进行起草，2024年8月省标准编制起草组成立，起草组由泰州市人民医院、江苏省人民医院的专家组成，由江苏省卫生健康标准化技术委员会、泰州市卫生标准化技术委员会负责形式和格式的指导，标准的研制工作正式启动。起草组开始收集查阅国内外文献，学习心房颤动管理的相关指南、建议，尤其是老年人、慢性病、基层管理的实践经验。</w:t>
      </w:r>
    </w:p>
    <w:p w14:paraId="4C0CD8E9">
      <w:pPr>
        <w:keepNext w:val="0"/>
        <w:keepLines w:val="0"/>
        <w:pageBreakBefore w:val="0"/>
        <w:widowControl w:val="0"/>
        <w:kinsoku/>
        <w:wordWrap/>
        <w:overflowPunct/>
        <w:topLinePunct w:val="0"/>
        <w:bidi w:val="0"/>
        <w:adjustRightInd w:val="0"/>
        <w:snapToGrid w:val="0"/>
        <w:spacing w:line="440" w:lineRule="exact"/>
        <w:ind w:firstLine="562" w:firstLineChars="200"/>
        <w:textAlignment w:val="auto"/>
        <w:outlineLvl w:val="1"/>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（二）组织调查研究（2024年9月－12月）</w:t>
      </w:r>
    </w:p>
    <w:p w14:paraId="3FE9B9B2">
      <w:pPr>
        <w:pStyle w:val="10"/>
        <w:keepNext w:val="0"/>
        <w:keepLines w:val="0"/>
        <w:pageBreakBefore w:val="0"/>
        <w:widowControl w:val="0"/>
        <w:kinsoku/>
        <w:wordWrap/>
        <w:overflowPunct/>
        <w:topLinePunct w:val="0"/>
        <w:bidi w:val="0"/>
        <w:spacing w:line="440" w:lineRule="exact"/>
        <w:ind w:firstLine="560" w:firstLineChars="200"/>
        <w:jc w:val="both"/>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起草组经过研究，确定《基于智慧化村卫生室的老年人心房颤动管理与服务规范》的标准要符合江苏本地村卫生室的实际情况，基层医务人员能够熟练使用相应设备设施、信息系统，按照标准文本的服务流程，做好房颤患者的全流程、个体化管理。</w:t>
      </w:r>
    </w:p>
    <w:p w14:paraId="5557BC62">
      <w:pPr>
        <w:keepNext w:val="0"/>
        <w:keepLines w:val="0"/>
        <w:pageBreakBefore w:val="0"/>
        <w:widowControl w:val="0"/>
        <w:kinsoku/>
        <w:wordWrap/>
        <w:overflowPunct/>
        <w:topLinePunct w:val="0"/>
        <w:autoSpaceDE w:val="0"/>
        <w:autoSpaceDN w:val="0"/>
        <w:bidi w:val="0"/>
        <w:adjustRightInd w:val="0"/>
        <w:spacing w:line="440" w:lineRule="exact"/>
        <w:ind w:firstLine="562" w:firstLineChars="200"/>
        <w:textAlignment w:val="auto"/>
        <w:outlineLvl w:val="1"/>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（三）编制标准草案（2024年12月－2025年1月）</w:t>
      </w:r>
    </w:p>
    <w:p w14:paraId="53B5C1D0">
      <w:pPr>
        <w:keepNext w:val="0"/>
        <w:keepLines w:val="0"/>
        <w:pageBreakBefore w:val="0"/>
        <w:widowControl w:val="0"/>
        <w:kinsoku/>
        <w:wordWrap/>
        <w:overflowPunct/>
        <w:topLinePunct w:val="0"/>
        <w:bidi w:val="0"/>
        <w:spacing w:line="440" w:lineRule="exact"/>
        <w:ind w:firstLine="560" w:firstLineChars="200"/>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起草组开始编制工作组讨论稿，召开了5次研讨会，每次研讨会均是对照文本逐字逐句修订，结合起草组对基层村卫生室实际情况的了解，对发现的问题和疑问现场交流，进行修正。</w:t>
      </w:r>
    </w:p>
    <w:p w14:paraId="2999B1E5">
      <w:pPr>
        <w:keepNext w:val="0"/>
        <w:keepLines w:val="0"/>
        <w:pageBreakBefore w:val="0"/>
        <w:widowControl w:val="0"/>
        <w:kinsoku/>
        <w:wordWrap/>
        <w:overflowPunct/>
        <w:topLinePunct w:val="0"/>
        <w:autoSpaceDE w:val="0"/>
        <w:autoSpaceDN w:val="0"/>
        <w:bidi w:val="0"/>
        <w:adjustRightInd w:val="0"/>
        <w:spacing w:line="440" w:lineRule="exact"/>
        <w:ind w:firstLine="562" w:firstLineChars="200"/>
        <w:textAlignment w:val="auto"/>
        <w:outlineLvl w:val="1"/>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（四）标准的验证（2025年1月－3月）</w:t>
      </w:r>
    </w:p>
    <w:p w14:paraId="4AB2E587">
      <w:pPr>
        <w:pStyle w:val="10"/>
        <w:keepNext w:val="0"/>
        <w:keepLines w:val="0"/>
        <w:pageBreakBefore w:val="0"/>
        <w:widowControl w:val="0"/>
        <w:kinsoku/>
        <w:wordWrap/>
        <w:overflowPunct/>
        <w:topLinePunct w:val="0"/>
        <w:bidi w:val="0"/>
        <w:spacing w:line="440" w:lineRule="exact"/>
        <w:ind w:firstLine="560" w:firstLineChars="200"/>
        <w:jc w:val="both"/>
        <w:textAlignment w:val="auto"/>
        <w:rPr>
          <w:rFonts w:hint="eastAsia" w:ascii="仿宋" w:hAnsi="仿宋" w:eastAsia="仿宋" w:cs="仿宋"/>
          <w:color w:val="0000FF"/>
          <w:kern w:val="2"/>
          <w:sz w:val="28"/>
          <w:szCs w:val="28"/>
          <w:highlight w:val="none"/>
          <w:lang w:val="en-US" w:eastAsia="zh-CN" w:bidi="ar-SA"/>
        </w:rPr>
      </w:pPr>
      <w:r>
        <w:rPr>
          <w:rFonts w:hint="eastAsia" w:ascii="仿宋" w:hAnsi="仿宋" w:eastAsia="仿宋" w:cs="仿宋"/>
          <w:color w:val="000000"/>
          <w:kern w:val="2"/>
          <w:sz w:val="28"/>
          <w:szCs w:val="28"/>
          <w:lang w:val="en-US" w:eastAsia="zh-CN" w:bidi="ar-SA"/>
        </w:rPr>
        <w:t>《基于智慧化村卫生室的老年人心房颤动管理与服务规范》地方标准初稿确定后，</w:t>
      </w:r>
      <w:r>
        <w:rPr>
          <w:rFonts w:hint="eastAsia" w:ascii="仿宋" w:hAnsi="仿宋" w:eastAsia="仿宋" w:cs="仿宋"/>
          <w:color w:val="auto"/>
          <w:kern w:val="2"/>
          <w:sz w:val="28"/>
          <w:szCs w:val="28"/>
          <w:highlight w:val="none"/>
          <w:lang w:val="en-US" w:eastAsia="zh-CN" w:bidi="ar-SA"/>
        </w:rPr>
        <w:t>起草组在泰州市高港区（如：寺巷街道康和社区卫生服务站、祥和社区卫生服务中心）和扬州市江都区村卫生室按照标准文本进行了11次现场演示，演示的结果能做到与文本一致。</w:t>
      </w:r>
    </w:p>
    <w:p w14:paraId="67F8B2DF">
      <w:pPr>
        <w:keepNext w:val="0"/>
        <w:keepLines w:val="0"/>
        <w:pageBreakBefore w:val="0"/>
        <w:widowControl w:val="0"/>
        <w:kinsoku/>
        <w:wordWrap/>
        <w:overflowPunct/>
        <w:topLinePunct w:val="0"/>
        <w:autoSpaceDE w:val="0"/>
        <w:autoSpaceDN w:val="0"/>
        <w:bidi w:val="0"/>
        <w:adjustRightInd w:val="0"/>
        <w:spacing w:line="440" w:lineRule="exact"/>
        <w:ind w:firstLine="562" w:firstLineChars="200"/>
        <w:textAlignment w:val="auto"/>
        <w:outlineLvl w:val="1"/>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（五）标准征求意见和专家咨询（2025年4月-6月）</w:t>
      </w:r>
    </w:p>
    <w:p w14:paraId="2540F7FF">
      <w:pPr>
        <w:keepNext w:val="0"/>
        <w:keepLines w:val="0"/>
        <w:pageBreakBefore w:val="0"/>
        <w:widowControl w:val="0"/>
        <w:kinsoku/>
        <w:wordWrap/>
        <w:overflowPunct/>
        <w:topLinePunct w:val="0"/>
        <w:bidi w:val="0"/>
        <w:spacing w:line="440" w:lineRule="exact"/>
        <w:ind w:firstLine="645"/>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标准草案稿编制完成后形成正式征求意见稿，起草组将标准以函件的形式发到苏南、苏中、苏北共</w:t>
      </w:r>
      <w:r>
        <w:rPr>
          <w:rFonts w:hint="eastAsia" w:ascii="仿宋" w:hAnsi="仿宋" w:eastAsia="仿宋" w:cs="仿宋"/>
          <w:color w:val="000000"/>
          <w:kern w:val="2"/>
          <w:sz w:val="28"/>
          <w:szCs w:val="28"/>
          <w:lang w:eastAsia="zh-CN" w:bidi="ar-SA"/>
        </w:rPr>
        <w:t>1</w:t>
      </w:r>
      <w:r>
        <w:rPr>
          <w:rFonts w:hint="eastAsia" w:ascii="仿宋" w:hAnsi="仿宋" w:eastAsia="仿宋" w:cs="仿宋"/>
          <w:color w:val="000000"/>
          <w:kern w:val="2"/>
          <w:sz w:val="28"/>
          <w:szCs w:val="28"/>
          <w:lang w:val="en-US" w:eastAsia="zh-CN" w:bidi="ar-SA"/>
        </w:rPr>
        <w:t>0个村卫生室征求意见，并邀请了省内专家于2025年5月26日和5月31日分别在泰州市疾病与预防控制中心、腾讯线上会议召开专家征求意见会，会议中广泛征求同行意见。同时，在网上广泛征求了意见。本标准共收到包括江苏省人民医院、江苏省中医院、徐州医科大学附属医院、苏北人民医院、苏州大学第二附属医院、泰州市人民医院、泰州市疾病与预防控制中心、白马人民医院、省内村医等等23位专家的39条反馈意见，其中完全采纳39条，部分采纳0条，不采纳0条。</w:t>
      </w:r>
    </w:p>
    <w:p w14:paraId="3D18524C">
      <w:pPr>
        <w:keepNext w:val="0"/>
        <w:keepLines w:val="0"/>
        <w:pageBreakBefore w:val="0"/>
        <w:widowControl w:val="0"/>
        <w:numPr>
          <w:ilvl w:val="0"/>
          <w:numId w:val="2"/>
        </w:numPr>
        <w:kinsoku/>
        <w:wordWrap/>
        <w:overflowPunct/>
        <w:topLinePunct w:val="0"/>
        <w:autoSpaceDE w:val="0"/>
        <w:autoSpaceDN w:val="0"/>
        <w:bidi w:val="0"/>
        <w:adjustRightInd w:val="0"/>
        <w:spacing w:line="440" w:lineRule="exact"/>
        <w:ind w:firstLine="562" w:firstLineChars="200"/>
        <w:textAlignment w:val="auto"/>
        <w:outlineLvl w:val="1"/>
        <w:rPr>
          <w:rFonts w:hint="eastAsia" w:ascii="仿宋" w:hAnsi="仿宋" w:eastAsia="仿宋" w:cs="仿宋"/>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标准送审与初审（2025年7月-11月）</w:t>
      </w:r>
    </w:p>
    <w:p w14:paraId="29C3DB7D">
      <w:pPr>
        <w:keepNext w:val="0"/>
        <w:keepLines w:val="0"/>
        <w:pageBreakBefore w:val="0"/>
        <w:widowControl w:val="0"/>
        <w:kinsoku/>
        <w:wordWrap/>
        <w:overflowPunct/>
        <w:topLinePunct w:val="0"/>
        <w:bidi w:val="0"/>
        <w:spacing w:line="440" w:lineRule="exact"/>
        <w:ind w:firstLine="645"/>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标准于2025年7月根据江苏省实际情况和专家意见进行了修改，形成了送审稿。于月底送至江苏省健康委员会、江苏省卫生健康标准化技术委员会。江苏省卫生健康标准化技术委员会邀请了省卫生健康标委会朱宝立书记、基层处姜仑处长、江苏省职业健康学院赵胜忠、南京鼓楼医院王涟主任、江宁人民医院张郁青主任等专家对送审稿进行了审核，专家表示该标准解决了农村房颤管理的痛点，给予了高度认可，并提出意见。起草小组根据意见进行了修改。</w:t>
      </w:r>
    </w:p>
    <w:p w14:paraId="4D840F1A">
      <w:pPr>
        <w:keepNext w:val="0"/>
        <w:keepLines w:val="0"/>
        <w:pageBreakBefore w:val="0"/>
        <w:widowControl w:val="0"/>
        <w:numPr>
          <w:ilvl w:val="0"/>
          <w:numId w:val="2"/>
        </w:numPr>
        <w:kinsoku/>
        <w:wordWrap/>
        <w:overflowPunct/>
        <w:topLinePunct w:val="0"/>
        <w:autoSpaceDE w:val="0"/>
        <w:autoSpaceDN w:val="0"/>
        <w:bidi w:val="0"/>
        <w:adjustRightInd w:val="0"/>
        <w:spacing w:line="440" w:lineRule="exact"/>
        <w:ind w:firstLine="562" w:firstLineChars="200"/>
        <w:textAlignment w:val="auto"/>
        <w:outlineLvl w:val="1"/>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标准终审与报批稿形成（12月）</w:t>
      </w:r>
    </w:p>
    <w:p w14:paraId="29D16295">
      <w:pPr>
        <w:keepNext w:val="0"/>
        <w:keepLines w:val="0"/>
        <w:pageBreakBefore w:val="0"/>
        <w:widowControl w:val="0"/>
        <w:kinsoku/>
        <w:wordWrap/>
        <w:overflowPunct/>
        <w:topLinePunct w:val="0"/>
        <w:bidi w:val="0"/>
        <w:spacing w:line="440" w:lineRule="exact"/>
        <w:ind w:firstLine="645"/>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标准初审并进行修改后，再次提交。于2025年12月17日在江苏省疾控中心C楼206会议室对提交的标准进行了终审，邀请了江苏省卫生健康委员会王咏梅处长、江苏省疾病预防控制中心周金意主任、南京医科大学第二附属医院牛常明主任、江宁人民医院张郁青主任、玄武区同仁街社区卫生服务中心王灵聪主任、江苏省质量和标准化研究院韩玉坤工程师等专家。起草小组首先汇报了标准的具体内容，专家表示标准符合当前我国对慢性病管理的需求，对标准给予了肯定，并对标准进行了逐字逐句的审核，提出了意见和建议。起草小组根据意见进行了修改，并形成报批稿。</w:t>
      </w:r>
    </w:p>
    <w:p w14:paraId="48FF0C47">
      <w:pPr>
        <w:keepNext w:val="0"/>
        <w:keepLines w:val="0"/>
        <w:pageBreakBefore w:val="0"/>
        <w:widowControl w:val="0"/>
        <w:numPr>
          <w:ilvl w:val="0"/>
          <w:numId w:val="3"/>
        </w:numPr>
        <w:kinsoku/>
        <w:wordWrap/>
        <w:overflowPunct/>
        <w:topLinePunct w:val="0"/>
        <w:autoSpaceDE w:val="0"/>
        <w:autoSpaceDN w:val="0"/>
        <w:bidi w:val="0"/>
        <w:adjustRightInd w:val="0"/>
        <w:spacing w:line="440" w:lineRule="exact"/>
        <w:ind w:firstLine="643" w:firstLineChars="200"/>
        <w:textAlignment w:val="auto"/>
        <w:outlineLvl w:val="0"/>
        <w:rPr>
          <w:rFonts w:hint="default" w:ascii="Times New Roman" w:hAnsi="Times New Roman" w:eastAsia="黑体" w:cs="Times New Roman"/>
          <w:b/>
          <w:color w:val="000000"/>
          <w:sz w:val="32"/>
          <w:szCs w:val="32"/>
          <w:lang w:val="en-US" w:eastAsia="zh-CN"/>
        </w:rPr>
      </w:pPr>
      <w:r>
        <w:rPr>
          <w:rFonts w:hint="default" w:ascii="Times New Roman" w:hAnsi="Times New Roman" w:eastAsia="黑体" w:cs="Times New Roman"/>
          <w:b/>
          <w:color w:val="000000"/>
          <w:sz w:val="32"/>
          <w:szCs w:val="32"/>
          <w:lang w:val="en-US" w:eastAsia="zh-CN"/>
        </w:rPr>
        <w:t>主要内容</w:t>
      </w:r>
    </w:p>
    <w:p w14:paraId="003BA806">
      <w:pPr>
        <w:keepNext w:val="0"/>
        <w:keepLines w:val="0"/>
        <w:pageBreakBefore w:val="0"/>
        <w:widowControl w:val="0"/>
        <w:kinsoku/>
        <w:wordWrap/>
        <w:overflowPunct/>
        <w:topLinePunct w:val="0"/>
        <w:bidi w:val="0"/>
        <w:spacing w:line="440" w:lineRule="exact"/>
        <w:ind w:firstLine="645"/>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本标准适用于江苏省范围内以智慧化村卫生室为依托，开展老年人心房颤动患者规范化管理与连续性服务的基层医疗场景，指导村医在上级医院协同支持下完成房颤患者从筛查诊断到风险评估、干预随访、远程管理和康复指导的全流程工作。本标准也可供社区卫生服务中心、乡镇卫生院等其他基层医疗机构在老年房颤管理中参考使用，具有良好的推广性和可复制性。</w:t>
      </w:r>
    </w:p>
    <w:p w14:paraId="2352881F">
      <w:pPr>
        <w:keepNext w:val="0"/>
        <w:keepLines w:val="0"/>
        <w:pageBreakBefore w:val="0"/>
        <w:widowControl w:val="0"/>
        <w:kinsoku/>
        <w:wordWrap/>
        <w:overflowPunct/>
        <w:topLinePunct w:val="0"/>
        <w:bidi w:val="0"/>
        <w:spacing w:line="440" w:lineRule="exact"/>
        <w:ind w:firstLine="645"/>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标准内容全面对接国家“分级诊疗”“医防融合”“互联网+医疗健康”政策导向，围绕智慧化村卫生室建设与老年人心房颤动服务实际需求，构建了一个“技术-流程-服务-评价”四位一体的规范体系。主要内容包括以下方面：</w:t>
      </w:r>
    </w:p>
    <w:p w14:paraId="6A4021A3">
      <w:pPr>
        <w:keepNext w:val="0"/>
        <w:keepLines w:val="0"/>
        <w:pageBreakBefore w:val="0"/>
        <w:widowControl w:val="0"/>
        <w:kinsoku/>
        <w:wordWrap/>
        <w:overflowPunct/>
        <w:topLinePunct w:val="0"/>
        <w:bidi w:val="0"/>
        <w:spacing w:line="440" w:lineRule="exact"/>
        <w:ind w:firstLine="645"/>
        <w:textAlignment w:val="auto"/>
        <w:outlineLvl w:val="1"/>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（一）空间与设施设备配备</w:t>
      </w:r>
    </w:p>
    <w:p w14:paraId="09789A35">
      <w:pPr>
        <w:keepNext w:val="0"/>
        <w:keepLines w:val="0"/>
        <w:pageBreakBefore w:val="0"/>
        <w:widowControl w:val="0"/>
        <w:kinsoku/>
        <w:wordWrap/>
        <w:overflowPunct/>
        <w:topLinePunct w:val="0"/>
        <w:bidi w:val="0"/>
        <w:spacing w:line="440" w:lineRule="exact"/>
        <w:ind w:firstLine="645"/>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标准明确智慧化村卫生室应具备开展老年房颤管理所需的空间配置与设备条件，设置数字诊室、筛查评估区和科普宣教区，总面积应不低于30㎡，为患者提供相对独立、舒适的服务环境。同时，标准将设施设备分为基础配备（如12导联心电图机、数字血压计、血糖仪、耳麦、摄像头等）和选择性配备（如长程心电监测仪、体脂秤、智能穿戴设备等），兼顾服务能力与经济可行性，确保在资源有限的村级场景下具备落地实施基础。</w:t>
      </w:r>
    </w:p>
    <w:p w14:paraId="6B89CFC4">
      <w:pPr>
        <w:keepNext w:val="0"/>
        <w:keepLines w:val="0"/>
        <w:pageBreakBefore w:val="0"/>
        <w:widowControl w:val="0"/>
        <w:kinsoku/>
        <w:wordWrap/>
        <w:overflowPunct/>
        <w:topLinePunct w:val="0"/>
        <w:bidi w:val="0"/>
        <w:spacing w:line="440" w:lineRule="exact"/>
        <w:ind w:firstLine="645"/>
        <w:textAlignment w:val="auto"/>
        <w:outlineLvl w:val="1"/>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（二）信息系统与物联网平台建设</w:t>
      </w:r>
    </w:p>
    <w:p w14:paraId="23EC80B3">
      <w:pPr>
        <w:keepNext w:val="0"/>
        <w:keepLines w:val="0"/>
        <w:pageBreakBefore w:val="0"/>
        <w:widowControl w:val="0"/>
        <w:kinsoku/>
        <w:wordWrap/>
        <w:overflowPunct/>
        <w:topLinePunct w:val="0"/>
        <w:bidi w:val="0"/>
        <w:spacing w:line="440" w:lineRule="exact"/>
        <w:ind w:firstLine="645"/>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标准提出应构建一套具有远程协同、智能识别、数据联动、隐私保护能力的慢病信息系统，能够实现医疗物联网设备的数据实时采集上传，支持AI辅助风险评估与预警，并满足WS/T 545《远程医疗信息系统技术规范》与WS/T 790《区域卫生信息平台交互标准》相关安全要求。另外，标准提出应建立一套物联网平台，进行相关设备的管理及使用状况数据的上传，可对数据的真实性和设备使用状况进行质控。该系统为房颤筛查、评估、随访与绩效考核提供数字化基础支撑。</w:t>
      </w:r>
    </w:p>
    <w:p w14:paraId="2E7B1E66">
      <w:pPr>
        <w:keepNext w:val="0"/>
        <w:keepLines w:val="0"/>
        <w:pageBreakBefore w:val="0"/>
        <w:widowControl w:val="0"/>
        <w:kinsoku/>
        <w:wordWrap/>
        <w:overflowPunct/>
        <w:topLinePunct w:val="0"/>
        <w:bidi w:val="0"/>
        <w:spacing w:line="440" w:lineRule="exact"/>
        <w:ind w:firstLine="645"/>
        <w:textAlignment w:val="auto"/>
        <w:outlineLvl w:val="1"/>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（三）人员配置与能力要求</w:t>
      </w:r>
    </w:p>
    <w:p w14:paraId="759A7352">
      <w:pPr>
        <w:keepNext w:val="0"/>
        <w:keepLines w:val="0"/>
        <w:pageBreakBefore w:val="0"/>
        <w:widowControl w:val="0"/>
        <w:kinsoku/>
        <w:wordWrap/>
        <w:overflowPunct/>
        <w:topLinePunct w:val="0"/>
        <w:bidi w:val="0"/>
        <w:spacing w:line="440" w:lineRule="exact"/>
        <w:ind w:firstLine="645"/>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标准对基层与上级协同人员提出了明确要求：村卫生室应至少配备1名具备基本房颤识别与管理能力的村医，并接受标准化培训；上级医院慢病管理中心需配备至少1名心血管专科医生和1名护士，负责远程问诊、转诊判断及抗凝指导等专业支持。鼓励配置公共卫生医师、康复师、心理咨询师、中医师等复合型队伍，构建多学科协作管理体系。</w:t>
      </w:r>
    </w:p>
    <w:p w14:paraId="16CD2FC2">
      <w:pPr>
        <w:keepNext w:val="0"/>
        <w:keepLines w:val="0"/>
        <w:pageBreakBefore w:val="0"/>
        <w:widowControl w:val="0"/>
        <w:kinsoku/>
        <w:wordWrap/>
        <w:overflowPunct/>
        <w:topLinePunct w:val="0"/>
        <w:bidi w:val="0"/>
        <w:spacing w:line="440" w:lineRule="exact"/>
        <w:ind w:firstLine="645"/>
        <w:textAlignment w:val="auto"/>
        <w:outlineLvl w:val="1"/>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（四）服务流程与内容规范</w:t>
      </w:r>
    </w:p>
    <w:p w14:paraId="20D48F41">
      <w:pPr>
        <w:keepNext w:val="0"/>
        <w:keepLines w:val="0"/>
        <w:pageBreakBefore w:val="0"/>
        <w:widowControl w:val="0"/>
        <w:kinsoku/>
        <w:wordWrap/>
        <w:overflowPunct/>
        <w:topLinePunct w:val="0"/>
        <w:bidi w:val="0"/>
        <w:spacing w:line="440" w:lineRule="exact"/>
        <w:ind w:firstLine="645"/>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标准围绕“主动发现-风险评估-诊疗决策-健康管理-动态监测”的逻辑主线，构建了系统化的房颤管理服务流程图，并明确各节点服务职责和执行路径。服务内容涵盖心电筛查，健康建档，风险评估，健康教育与制定管理计划（抗凝治疗、症状控制、共病诊治、饮食指导、运动康复）、居家健康数据上传、随访回访与异常预警响应等核心要素，形成一个房颤筛查与管理的全过程、闭环式服务模式。在服务内容中，标准引入国际通用的房颤卒中风险与出血风险量表，并配套远程辅助决策路径，规范抗凝启动流程与治疗方案推荐，提升基层房颤管理的科学性和安全性。对急性症状发作或高危异常数据，设置远程会诊机制，确保在村医无法独立判断的情况下，由上级医院给予处置支持。</w:t>
      </w:r>
    </w:p>
    <w:p w14:paraId="70E19686">
      <w:pPr>
        <w:keepNext w:val="0"/>
        <w:keepLines w:val="0"/>
        <w:pageBreakBefore w:val="0"/>
        <w:widowControl w:val="0"/>
        <w:kinsoku/>
        <w:wordWrap/>
        <w:overflowPunct/>
        <w:topLinePunct w:val="0"/>
        <w:bidi w:val="0"/>
        <w:spacing w:line="440" w:lineRule="exact"/>
        <w:ind w:firstLine="645"/>
        <w:textAlignment w:val="auto"/>
        <w:outlineLvl w:val="1"/>
        <w:rPr>
          <w:rFonts w:hint="eastAsia" w:ascii="仿宋" w:hAnsi="仿宋" w:eastAsia="仿宋" w:cs="仿宋"/>
          <w:b/>
          <w:bCs/>
          <w:color w:val="000000"/>
          <w:kern w:val="2"/>
          <w:sz w:val="28"/>
          <w:szCs w:val="28"/>
          <w:lang w:val="en-US" w:eastAsia="zh-CN" w:bidi="ar-SA"/>
        </w:rPr>
      </w:pPr>
      <w:r>
        <w:rPr>
          <w:rFonts w:hint="eastAsia" w:ascii="仿宋" w:hAnsi="仿宋" w:eastAsia="仿宋" w:cs="仿宋"/>
          <w:b/>
          <w:bCs/>
          <w:color w:val="000000"/>
          <w:kern w:val="2"/>
          <w:sz w:val="28"/>
          <w:szCs w:val="28"/>
          <w:lang w:val="en-US" w:eastAsia="zh-CN" w:bidi="ar-SA"/>
        </w:rPr>
        <w:t>（五）绩效考核与服务改进机制</w:t>
      </w:r>
    </w:p>
    <w:p w14:paraId="5650D930">
      <w:pPr>
        <w:keepNext w:val="0"/>
        <w:keepLines w:val="0"/>
        <w:pageBreakBefore w:val="0"/>
        <w:widowControl w:val="0"/>
        <w:kinsoku/>
        <w:wordWrap/>
        <w:overflowPunct/>
        <w:topLinePunct w:val="0"/>
        <w:bidi w:val="0"/>
        <w:spacing w:line="440" w:lineRule="exact"/>
        <w:ind w:firstLine="645"/>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标准制定了多维度绩效考核框架，包括服务履职情况、患者房颤知晓率、规范用药率、症状控制改善率、患者满意度等关键指标，并要求村卫生室定期开展自我考核和质量督导。对存在薄弱环节的村卫生室应形成问题清单，制定整改计划，推动服务能力持续改进与提质增效。</w:t>
      </w:r>
    </w:p>
    <w:p w14:paraId="764F614A">
      <w:pPr>
        <w:keepNext w:val="0"/>
        <w:keepLines w:val="0"/>
        <w:pageBreakBefore w:val="0"/>
        <w:widowControl w:val="0"/>
        <w:kinsoku/>
        <w:wordWrap/>
        <w:overflowPunct/>
        <w:topLinePunct w:val="0"/>
        <w:bidi w:val="0"/>
        <w:spacing w:line="440" w:lineRule="exact"/>
        <w:ind w:firstLine="645"/>
        <w:textAlignment w:val="auto"/>
        <w:rPr>
          <w:rFonts w:hint="eastAsia" w:ascii="仿宋" w:hAnsi="仿宋" w:eastAsia="仿宋" w:cs="仿宋"/>
          <w:color w:val="000000"/>
          <w:kern w:val="2"/>
          <w:sz w:val="28"/>
          <w:szCs w:val="28"/>
          <w:lang w:val="en-US" w:eastAsia="zh-CN" w:bidi="ar-SA"/>
        </w:rPr>
      </w:pPr>
      <w:r>
        <w:rPr>
          <w:rFonts w:hint="eastAsia" w:ascii="仿宋" w:hAnsi="仿宋" w:eastAsia="仿宋" w:cs="仿宋"/>
          <w:color w:val="000000"/>
          <w:kern w:val="2"/>
          <w:sz w:val="28"/>
          <w:szCs w:val="28"/>
          <w:lang w:val="en-US" w:eastAsia="zh-CN" w:bidi="ar-SA"/>
        </w:rPr>
        <w:t>综上所述，本标准的核心在于以智慧化村卫生室为阵地，充分发挥信息化与人工智能技术在老年房颤管理中的支撑作用，明确“人-设备-系统-流程”的一体化配置标准，推动建立以患者为中心、医防融合、上下联动的慢性房颤管理新机制，助力江苏省在基层心血管慢病管理领域实现精细化、规范化与智能化发展。</w:t>
      </w:r>
    </w:p>
    <w:p w14:paraId="4552ADBE">
      <w:pPr>
        <w:autoSpaceDE w:val="0"/>
        <w:autoSpaceDN w:val="0"/>
        <w:adjustRightInd w:val="0"/>
        <w:spacing w:line="560" w:lineRule="exact"/>
        <w:ind w:firstLine="643" w:firstLineChars="200"/>
        <w:outlineLvl w:val="0"/>
        <w:rPr>
          <w:rFonts w:hint="default" w:ascii="Times New Roman" w:hAnsi="Times New Roman" w:cs="Times New Roman"/>
        </w:rPr>
      </w:pPr>
      <w:r>
        <w:rPr>
          <w:rFonts w:hint="default" w:ascii="Times New Roman" w:hAnsi="Times New Roman" w:eastAsia="黑体" w:cs="Times New Roman"/>
          <w:b/>
          <w:color w:val="000000"/>
          <w:sz w:val="32"/>
          <w:szCs w:val="32"/>
          <w:lang w:val="en-US" w:eastAsia="zh-CN"/>
        </w:rPr>
        <w:t>五、技术指标确定的依据</w:t>
      </w:r>
    </w:p>
    <w:p w14:paraId="034D1D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2" w:firstLineChars="200"/>
        <w:jc w:val="left"/>
        <w:textAlignment w:val="baseline"/>
        <w:outlineLvl w:val="1"/>
        <w:rPr>
          <w:rFonts w:hint="eastAsia" w:ascii="仿宋" w:hAnsi="仿宋" w:eastAsia="仿宋" w:cs="仿宋"/>
          <w:b/>
          <w:bCs/>
          <w:i w:val="0"/>
          <w:iCs w:val="0"/>
          <w:caps w:val="0"/>
          <w:spacing w:val="0"/>
          <w:kern w:val="0"/>
          <w:sz w:val="28"/>
          <w:szCs w:val="28"/>
          <w:shd w:val="clear" w:fill="FFFFFF"/>
          <w:vertAlign w:val="baseline"/>
          <w:lang w:val="en-US" w:eastAsia="zh-CN" w:bidi="ar"/>
        </w:rPr>
      </w:pPr>
      <w:r>
        <w:rPr>
          <w:rFonts w:hint="eastAsia" w:ascii="仿宋" w:hAnsi="仿宋" w:eastAsia="仿宋" w:cs="仿宋"/>
          <w:b/>
          <w:bCs/>
          <w:i w:val="0"/>
          <w:iCs w:val="0"/>
          <w:caps w:val="0"/>
          <w:spacing w:val="0"/>
          <w:kern w:val="0"/>
          <w:sz w:val="28"/>
          <w:szCs w:val="28"/>
          <w:shd w:val="clear" w:fill="FFFFFF"/>
          <w:vertAlign w:val="baseline"/>
          <w:lang w:val="en-US" w:eastAsia="zh-CN" w:bidi="ar"/>
        </w:rPr>
        <w:t>（一）空间设置指标</w:t>
      </w:r>
    </w:p>
    <w:p w14:paraId="49C080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0" w:firstLineChars="200"/>
        <w:jc w:val="both"/>
        <w:textAlignment w:val="baseline"/>
        <w:rPr>
          <w:rFonts w:hint="eastAsia" w:ascii="仿宋" w:hAnsi="仿宋" w:eastAsia="仿宋" w:cs="仿宋"/>
          <w:i w:val="0"/>
          <w:iCs w:val="0"/>
          <w:caps w:val="0"/>
          <w:spacing w:val="0"/>
          <w:kern w:val="0"/>
          <w:sz w:val="28"/>
          <w:szCs w:val="28"/>
          <w:shd w:val="clear" w:fill="FFFFFF"/>
          <w:vertAlign w:val="baseline"/>
          <w:lang w:val="en-US" w:eastAsia="zh-CN" w:bidi="ar"/>
        </w:rPr>
      </w:pPr>
      <w:r>
        <w:rPr>
          <w:rFonts w:hint="eastAsia" w:ascii="仿宋" w:hAnsi="仿宋" w:eastAsia="仿宋" w:cs="仿宋"/>
          <w:i w:val="0"/>
          <w:iCs w:val="0"/>
          <w:caps w:val="0"/>
          <w:spacing w:val="0"/>
          <w:kern w:val="0"/>
          <w:sz w:val="28"/>
          <w:szCs w:val="28"/>
          <w:shd w:val="clear" w:fill="FFFFFF"/>
          <w:vertAlign w:val="baseline"/>
          <w:lang w:val="en-US" w:eastAsia="zh-CN" w:bidi="ar"/>
        </w:rPr>
        <w:t>在空间设置方面，编制组通过走访泰州、徐州、无锡、南京、连云港、扬州等地50余家村卫生室，发现现有卫生室面积多为30-50m</w:t>
      </w:r>
      <w:r>
        <w:rPr>
          <w:rFonts w:hint="eastAsia" w:ascii="仿宋" w:hAnsi="仿宋" w:eastAsia="仿宋" w:cs="仿宋"/>
          <w:i w:val="0"/>
          <w:iCs w:val="0"/>
          <w:caps w:val="0"/>
          <w:spacing w:val="0"/>
          <w:kern w:val="0"/>
          <w:sz w:val="28"/>
          <w:szCs w:val="28"/>
          <w:shd w:val="clear" w:fill="FFFFFF"/>
          <w:vertAlign w:val="superscript"/>
          <w:lang w:val="en-US" w:eastAsia="zh-CN" w:bidi="ar"/>
        </w:rPr>
        <w:t>2</w:t>
      </w:r>
      <w:r>
        <w:rPr>
          <w:rFonts w:hint="eastAsia" w:ascii="仿宋" w:hAnsi="仿宋" w:eastAsia="仿宋" w:cs="仿宋"/>
          <w:i w:val="0"/>
          <w:iCs w:val="0"/>
          <w:caps w:val="0"/>
          <w:spacing w:val="0"/>
          <w:kern w:val="0"/>
          <w:sz w:val="28"/>
          <w:szCs w:val="28"/>
          <w:shd w:val="clear" w:fill="FFFFFF"/>
          <w:vertAlign w:val="baseline"/>
          <w:lang w:val="en-US" w:eastAsia="zh-CN" w:bidi="ar"/>
        </w:rPr>
        <w:t>，30m</w:t>
      </w:r>
      <w:r>
        <w:rPr>
          <w:rFonts w:hint="eastAsia" w:ascii="仿宋" w:hAnsi="仿宋" w:eastAsia="仿宋" w:cs="仿宋"/>
          <w:i w:val="0"/>
          <w:iCs w:val="0"/>
          <w:caps w:val="0"/>
          <w:spacing w:val="0"/>
          <w:kern w:val="0"/>
          <w:sz w:val="28"/>
          <w:szCs w:val="28"/>
          <w:shd w:val="clear" w:fill="FFFFFF"/>
          <w:vertAlign w:val="superscript"/>
          <w:lang w:val="en-US" w:eastAsia="zh-CN" w:bidi="ar"/>
        </w:rPr>
        <w:t>2</w:t>
      </w:r>
      <w:r>
        <w:rPr>
          <w:rFonts w:hint="eastAsia" w:ascii="仿宋" w:hAnsi="仿宋" w:eastAsia="仿宋" w:cs="仿宋"/>
          <w:i w:val="0"/>
          <w:iCs w:val="0"/>
          <w:caps w:val="0"/>
          <w:spacing w:val="0"/>
          <w:kern w:val="0"/>
          <w:sz w:val="28"/>
          <w:szCs w:val="28"/>
          <w:shd w:val="clear" w:fill="FFFFFF"/>
          <w:vertAlign w:val="baseline"/>
          <w:lang w:val="en-US" w:eastAsia="zh-CN" w:bidi="ar"/>
        </w:rPr>
        <w:t>以下的村卫生室仅占8.5%，考虑到现有条件下标准的可推广性以及超过30㎡的卫生室能够更好容纳多功能设备的现实情况，将30m</w:t>
      </w:r>
      <w:r>
        <w:rPr>
          <w:rFonts w:hint="eastAsia" w:ascii="仿宋" w:hAnsi="仿宋" w:eastAsia="仿宋" w:cs="仿宋"/>
          <w:i w:val="0"/>
          <w:iCs w:val="0"/>
          <w:caps w:val="0"/>
          <w:spacing w:val="0"/>
          <w:kern w:val="0"/>
          <w:sz w:val="28"/>
          <w:szCs w:val="28"/>
          <w:shd w:val="clear" w:fill="FFFFFF"/>
          <w:vertAlign w:val="superscript"/>
          <w:lang w:val="en-US" w:eastAsia="zh-CN" w:bidi="ar"/>
        </w:rPr>
        <w:t>2</w:t>
      </w:r>
      <w:r>
        <w:rPr>
          <w:rFonts w:hint="eastAsia" w:ascii="仿宋" w:hAnsi="仿宋" w:eastAsia="仿宋" w:cs="仿宋"/>
          <w:i w:val="0"/>
          <w:iCs w:val="0"/>
          <w:caps w:val="0"/>
          <w:spacing w:val="0"/>
          <w:kern w:val="0"/>
          <w:sz w:val="28"/>
          <w:szCs w:val="28"/>
          <w:shd w:val="clear" w:fill="FFFFFF"/>
          <w:vertAlign w:val="baseline"/>
          <w:lang w:val="en-US" w:eastAsia="zh-CN" w:bidi="ar"/>
        </w:rPr>
        <w:t>作为了空间的面积要求。在泰州市高港区的康和社区与祥和社区试点过程中，设置数字诊室、筛查评估区、科普宣教区三位一体的布局，不仅便于流程执行，也提高了老年人接受服务的舒适度和连贯性。因此，将30㎡作为基础面积并明确分区配置。</w:t>
      </w:r>
    </w:p>
    <w:p w14:paraId="3CCB86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2" w:firstLineChars="200"/>
        <w:jc w:val="left"/>
        <w:textAlignment w:val="baseline"/>
        <w:outlineLvl w:val="1"/>
        <w:rPr>
          <w:rFonts w:hint="eastAsia" w:ascii="仿宋" w:hAnsi="仿宋" w:eastAsia="仿宋" w:cs="仿宋"/>
          <w:b/>
          <w:bCs/>
          <w:i w:val="0"/>
          <w:iCs w:val="0"/>
          <w:caps w:val="0"/>
          <w:spacing w:val="0"/>
          <w:kern w:val="0"/>
          <w:sz w:val="28"/>
          <w:szCs w:val="28"/>
          <w:shd w:val="clear" w:fill="FFFFFF"/>
          <w:vertAlign w:val="baseline"/>
          <w:lang w:val="en-US" w:eastAsia="zh-CN" w:bidi="ar"/>
        </w:rPr>
      </w:pPr>
      <w:r>
        <w:rPr>
          <w:rFonts w:hint="eastAsia" w:ascii="仿宋" w:hAnsi="仿宋" w:eastAsia="仿宋" w:cs="仿宋"/>
          <w:b/>
          <w:bCs/>
          <w:i w:val="0"/>
          <w:iCs w:val="0"/>
          <w:caps w:val="0"/>
          <w:spacing w:val="0"/>
          <w:kern w:val="0"/>
          <w:sz w:val="28"/>
          <w:szCs w:val="28"/>
          <w:shd w:val="clear" w:fill="FFFFFF"/>
          <w:vertAlign w:val="baseline"/>
          <w:lang w:val="en-US" w:eastAsia="zh-CN" w:bidi="ar"/>
        </w:rPr>
        <w:t>（二）设施设备配置指标</w:t>
      </w:r>
    </w:p>
    <w:p w14:paraId="5BDD25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0" w:firstLineChars="200"/>
        <w:jc w:val="both"/>
        <w:textAlignment w:val="baseline"/>
        <w:rPr>
          <w:rFonts w:hint="eastAsia" w:ascii="仿宋" w:hAnsi="仿宋" w:eastAsia="仿宋" w:cs="仿宋"/>
          <w:i w:val="0"/>
          <w:iCs w:val="0"/>
          <w:caps w:val="0"/>
          <w:spacing w:val="0"/>
          <w:kern w:val="0"/>
          <w:sz w:val="28"/>
          <w:szCs w:val="28"/>
          <w:shd w:val="clear" w:fill="FFFFFF"/>
          <w:vertAlign w:val="baseline"/>
          <w:lang w:val="en-US" w:eastAsia="zh-CN" w:bidi="ar"/>
        </w:rPr>
      </w:pPr>
      <w:r>
        <w:rPr>
          <w:rFonts w:hint="eastAsia" w:ascii="仿宋" w:hAnsi="仿宋" w:eastAsia="仿宋" w:cs="仿宋"/>
          <w:i w:val="0"/>
          <w:iCs w:val="0"/>
          <w:caps w:val="0"/>
          <w:spacing w:val="0"/>
          <w:kern w:val="0"/>
          <w:sz w:val="28"/>
          <w:szCs w:val="28"/>
          <w:shd w:val="clear" w:fill="FFFFFF"/>
          <w:vertAlign w:val="baseline"/>
          <w:lang w:val="en-US" w:eastAsia="zh-CN" w:bidi="ar"/>
        </w:rPr>
        <w:t>为明确智慧化村卫生室的基础设施标准，编制组结合村卫生室经济状况、村医实际操作能力与房颤管理技术需求，在调研中详细记录了村医对于12导联心电图机、数字血压计、耳麦摄像头等设备的使用频率与熟练度，并对比《心房颤动基层合理用药指南》《2023中国指南》中的推荐设备，逐步形成基础与选择性两类配置清单。编制组对183名村医（基本情况，年龄：&lt;35岁13（7.10）人，35-50岁68（37.16%）人，&gt;50岁102（55.74%）人；学历：中专/高中及以下127（69.40%）人，大专30（16.39%）人，本科及以上26（14.21%）人）进行了设备相关操作的培训，培训结果表明，数字血压计、数字血糖仪、长程心电记录仪、数字听诊器、体脂秤、智能手环/手表掌握速度较快，一次培训后基本上都可以掌握，运行3月后，再次进行了考核，掌握要领的平均分（百分制）分别为95.17、93.28、96.21、95.68、97.52、96.35，时间（分钟）分别为2.03、2.14、3.12、3.66、1.28、1.87，另外，用于软件操作的电脑，用于远程会诊的耳麦、视频摄像头，心电图机，需要间断性的培训3次才能掌握，运行3月后进行考核，平均分（百分制）分别为93.84、98.78、91.54，时间（分钟）分别为5.14、2.35、6.83。因此，这些设备对村医来说均可以掌握。</w:t>
      </w:r>
    </w:p>
    <w:p w14:paraId="030108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2" w:firstLineChars="200"/>
        <w:jc w:val="left"/>
        <w:textAlignment w:val="baseline"/>
        <w:outlineLvl w:val="1"/>
        <w:rPr>
          <w:rFonts w:hint="eastAsia" w:ascii="仿宋" w:hAnsi="仿宋" w:eastAsia="仿宋" w:cs="仿宋"/>
          <w:b/>
          <w:bCs/>
          <w:i w:val="0"/>
          <w:iCs w:val="0"/>
          <w:caps w:val="0"/>
          <w:spacing w:val="0"/>
          <w:kern w:val="0"/>
          <w:sz w:val="28"/>
          <w:szCs w:val="28"/>
          <w:shd w:val="clear" w:fill="FFFFFF"/>
          <w:vertAlign w:val="baseline"/>
          <w:lang w:val="en-US" w:eastAsia="zh-CN" w:bidi="ar"/>
        </w:rPr>
      </w:pPr>
      <w:r>
        <w:rPr>
          <w:rFonts w:hint="eastAsia" w:ascii="仿宋" w:hAnsi="仿宋" w:eastAsia="仿宋" w:cs="仿宋"/>
          <w:b/>
          <w:bCs/>
          <w:i w:val="0"/>
          <w:iCs w:val="0"/>
          <w:caps w:val="0"/>
          <w:spacing w:val="0"/>
          <w:kern w:val="0"/>
          <w:sz w:val="28"/>
          <w:szCs w:val="28"/>
          <w:shd w:val="clear" w:fill="FFFFFF"/>
          <w:vertAlign w:val="baseline"/>
          <w:lang w:val="en-US" w:eastAsia="zh-CN" w:bidi="ar"/>
        </w:rPr>
        <w:t>（三）信息系统技术要求</w:t>
      </w:r>
    </w:p>
    <w:p w14:paraId="2438BC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0" w:firstLineChars="200"/>
        <w:jc w:val="both"/>
        <w:textAlignment w:val="baseline"/>
        <w:rPr>
          <w:rFonts w:hint="eastAsia" w:ascii="仿宋" w:hAnsi="仿宋" w:eastAsia="仿宋" w:cs="仿宋"/>
          <w:i w:val="0"/>
          <w:iCs w:val="0"/>
          <w:caps w:val="0"/>
          <w:spacing w:val="0"/>
          <w:kern w:val="0"/>
          <w:sz w:val="28"/>
          <w:szCs w:val="28"/>
          <w:shd w:val="clear" w:fill="FFFFFF"/>
          <w:vertAlign w:val="baseline"/>
          <w:lang w:val="en-US" w:eastAsia="zh-CN" w:bidi="ar"/>
        </w:rPr>
      </w:pPr>
      <w:r>
        <w:rPr>
          <w:rFonts w:hint="eastAsia" w:ascii="仿宋" w:hAnsi="仿宋" w:eastAsia="仿宋" w:cs="仿宋"/>
          <w:i w:val="0"/>
          <w:iCs w:val="0"/>
          <w:caps w:val="0"/>
          <w:spacing w:val="0"/>
          <w:kern w:val="0"/>
          <w:sz w:val="28"/>
          <w:szCs w:val="28"/>
          <w:shd w:val="clear" w:fill="FFFFFF"/>
          <w:vertAlign w:val="baseline"/>
          <w:lang w:val="en-US" w:eastAsia="zh-CN" w:bidi="ar"/>
        </w:rPr>
        <w:t>针对智慧化村卫生室所需信息系统，起草组邀请参与“星网计划”数字平台建设工程师、江苏省人民医院和泰州市人民医院信息处工作人员进行座谈，并调研WS/T 545与WS/T 790等国家信息安全规范，梳理出符合慢病数据共享、设备联通、实时预警及AI分析等功能需求的系统架构。在泰州市高港区93家村卫生室和扬州市江都区28家村卫生室试运行中，平台实现了建档、基本情况调查、血压上传、血糖上传、心电图上传、远程心内科会诊、随访信息反馈等全流程闭环，后期将系统迁移到了基本公共卫生的内网系统，证明系统设计具备可部署性、稳定性和安全性，为本标准技术指标提供支撑。</w:t>
      </w:r>
    </w:p>
    <w:p w14:paraId="487F27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2" w:firstLineChars="200"/>
        <w:jc w:val="left"/>
        <w:textAlignment w:val="baseline"/>
        <w:outlineLvl w:val="1"/>
        <w:rPr>
          <w:rFonts w:hint="eastAsia" w:ascii="仿宋" w:hAnsi="仿宋" w:eastAsia="仿宋" w:cs="仿宋"/>
          <w:b/>
          <w:bCs/>
          <w:i w:val="0"/>
          <w:iCs w:val="0"/>
          <w:caps w:val="0"/>
          <w:spacing w:val="0"/>
          <w:kern w:val="0"/>
          <w:sz w:val="28"/>
          <w:szCs w:val="28"/>
          <w:shd w:val="clear" w:fill="FFFFFF"/>
          <w:vertAlign w:val="baseline"/>
          <w:lang w:val="en-US" w:eastAsia="zh-CN" w:bidi="ar"/>
        </w:rPr>
      </w:pPr>
      <w:r>
        <w:rPr>
          <w:rFonts w:hint="eastAsia" w:ascii="仿宋" w:hAnsi="仿宋" w:eastAsia="仿宋" w:cs="仿宋"/>
          <w:b/>
          <w:bCs/>
          <w:i w:val="0"/>
          <w:iCs w:val="0"/>
          <w:caps w:val="0"/>
          <w:spacing w:val="0"/>
          <w:kern w:val="0"/>
          <w:sz w:val="28"/>
          <w:szCs w:val="28"/>
          <w:shd w:val="clear" w:fill="FFFFFF"/>
          <w:vertAlign w:val="baseline"/>
          <w:lang w:val="en-US" w:eastAsia="zh-CN" w:bidi="ar"/>
        </w:rPr>
        <w:t>（四）人员配备与职责标准</w:t>
      </w:r>
    </w:p>
    <w:p w14:paraId="003CB3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0" w:firstLineChars="200"/>
        <w:jc w:val="both"/>
        <w:textAlignment w:val="baseline"/>
        <w:rPr>
          <w:rFonts w:hint="eastAsia" w:ascii="仿宋" w:hAnsi="仿宋" w:eastAsia="仿宋" w:cs="仿宋"/>
          <w:i w:val="0"/>
          <w:iCs w:val="0"/>
          <w:caps w:val="0"/>
          <w:spacing w:val="0"/>
          <w:kern w:val="0"/>
          <w:sz w:val="28"/>
          <w:szCs w:val="28"/>
          <w:shd w:val="clear" w:fill="FFFFFF"/>
          <w:vertAlign w:val="baseline"/>
          <w:lang w:val="en-US" w:eastAsia="zh-CN" w:bidi="ar"/>
        </w:rPr>
      </w:pPr>
      <w:r>
        <w:rPr>
          <w:rFonts w:hint="eastAsia" w:ascii="仿宋" w:hAnsi="仿宋" w:eastAsia="仿宋" w:cs="仿宋"/>
          <w:i w:val="0"/>
          <w:iCs w:val="0"/>
          <w:caps w:val="0"/>
          <w:spacing w:val="0"/>
          <w:kern w:val="0"/>
          <w:sz w:val="28"/>
          <w:szCs w:val="28"/>
          <w:shd w:val="clear" w:fill="FFFFFF"/>
          <w:vertAlign w:val="baseline"/>
          <w:lang w:val="en-US" w:eastAsia="zh-CN" w:bidi="ar"/>
        </w:rPr>
        <w:t>人员配置方面，编制组参考《家庭医生签约服务规范》以及上级慢病中心工作经验，设定了医护人员与患者服务比1:1000、村卫生室至少配备1名村医的基本配置。在对江苏省人民医院、鼓楼医院等慢病管理团队访谈中，获知目前成熟远程管理模式中，1名医师或护士服务800</w:t>
      </w:r>
      <w:r>
        <w:rPr>
          <w:rFonts w:hint="eastAsia" w:ascii="仿宋" w:hAnsi="仿宋" w:eastAsia="仿宋" w:cs="仿宋"/>
          <w:i w:val="0"/>
          <w:iCs w:val="0"/>
          <w:caps w:val="0"/>
          <w:spacing w:val="0"/>
          <w:kern w:val="0"/>
          <w:sz w:val="28"/>
          <w:szCs w:val="28"/>
          <w:shd w:val="clear" w:fill="FFFFFF"/>
          <w:vertAlign w:val="baseline"/>
          <w:lang w:eastAsia="zh-CN" w:bidi="ar"/>
        </w:rPr>
        <w:t>-</w:t>
      </w:r>
      <w:r>
        <w:rPr>
          <w:rFonts w:hint="eastAsia" w:ascii="仿宋" w:hAnsi="仿宋" w:eastAsia="仿宋" w:cs="仿宋"/>
          <w:i w:val="0"/>
          <w:iCs w:val="0"/>
          <w:caps w:val="0"/>
          <w:spacing w:val="0"/>
          <w:kern w:val="0"/>
          <w:sz w:val="28"/>
          <w:szCs w:val="28"/>
          <w:shd w:val="clear" w:fill="FFFFFF"/>
          <w:vertAlign w:val="baseline"/>
          <w:lang w:val="en-US" w:eastAsia="zh-CN" w:bidi="ar"/>
        </w:rPr>
        <w:t>1200人之间效果最佳。村医方面，通过实地观察他们在既往基本公共卫生中随访登记、风险评估、健康教育等方面的独立操作能力，结合培训的183名村医效果，标准最终确定了职责划分与人员结构模型。</w:t>
      </w:r>
    </w:p>
    <w:p w14:paraId="604062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2" w:firstLineChars="200"/>
        <w:jc w:val="left"/>
        <w:textAlignment w:val="baseline"/>
        <w:outlineLvl w:val="1"/>
        <w:rPr>
          <w:rFonts w:hint="eastAsia" w:ascii="仿宋" w:hAnsi="仿宋" w:eastAsia="仿宋" w:cs="仿宋"/>
          <w:b/>
          <w:bCs/>
          <w:i w:val="0"/>
          <w:iCs w:val="0"/>
          <w:caps w:val="0"/>
          <w:spacing w:val="0"/>
          <w:kern w:val="0"/>
          <w:sz w:val="28"/>
          <w:szCs w:val="28"/>
          <w:shd w:val="clear" w:fill="FFFFFF"/>
          <w:vertAlign w:val="baseline"/>
          <w:lang w:val="en-US" w:eastAsia="zh-CN" w:bidi="ar"/>
        </w:rPr>
      </w:pPr>
      <w:r>
        <w:rPr>
          <w:rFonts w:hint="eastAsia" w:ascii="仿宋" w:hAnsi="仿宋" w:eastAsia="仿宋" w:cs="仿宋"/>
          <w:b/>
          <w:bCs/>
          <w:i w:val="0"/>
          <w:iCs w:val="0"/>
          <w:caps w:val="0"/>
          <w:spacing w:val="0"/>
          <w:kern w:val="0"/>
          <w:sz w:val="28"/>
          <w:szCs w:val="28"/>
          <w:shd w:val="clear" w:fill="FFFFFF"/>
          <w:vertAlign w:val="baseline"/>
          <w:lang w:val="en-US" w:eastAsia="zh-CN" w:bidi="ar"/>
        </w:rPr>
        <w:t>（五）服务流程设计</w:t>
      </w:r>
    </w:p>
    <w:p w14:paraId="62933C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0" w:firstLineChars="200"/>
        <w:jc w:val="both"/>
        <w:textAlignment w:val="baseline"/>
        <w:rPr>
          <w:rFonts w:hint="eastAsia" w:ascii="仿宋" w:hAnsi="仿宋" w:eastAsia="仿宋" w:cs="仿宋"/>
          <w:i w:val="0"/>
          <w:iCs w:val="0"/>
          <w:caps w:val="0"/>
          <w:spacing w:val="0"/>
          <w:kern w:val="0"/>
          <w:sz w:val="28"/>
          <w:szCs w:val="28"/>
          <w:shd w:val="clear" w:fill="FFFFFF"/>
          <w:vertAlign w:val="baseline"/>
          <w:lang w:val="en-US" w:eastAsia="zh-CN" w:bidi="ar"/>
        </w:rPr>
      </w:pPr>
      <w:r>
        <w:rPr>
          <w:rFonts w:hint="eastAsia" w:ascii="仿宋" w:hAnsi="仿宋" w:eastAsia="仿宋" w:cs="仿宋"/>
          <w:i w:val="0"/>
          <w:iCs w:val="0"/>
          <w:caps w:val="0"/>
          <w:spacing w:val="0"/>
          <w:kern w:val="0"/>
          <w:sz w:val="28"/>
          <w:szCs w:val="28"/>
          <w:shd w:val="clear" w:fill="FFFFFF"/>
          <w:vertAlign w:val="baseline"/>
          <w:lang w:val="en-US" w:eastAsia="zh-CN" w:bidi="ar"/>
        </w:rPr>
        <w:t>标准中的房颤服务流程是在吸收《房颤分级诊疗技术方案》推荐路径的基础上，结合村卫生室实际操作流程逐步打磨形成的。在泰州市高港区、扬州市江都区开展的11次试点模拟中，村医根据流程执行筛查、建档、评估、签约、随访等环节，实际操作中多处关键节点（如远程会诊启动条件）被多次优化，确保了流程在不增加基层负担的情况下，最大程度提升管理效率和依从性。</w:t>
      </w:r>
    </w:p>
    <w:p w14:paraId="516BD9A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Chars="200" w:right="0" w:rightChars="0"/>
        <w:jc w:val="left"/>
        <w:textAlignment w:val="baseline"/>
        <w:outlineLvl w:val="1"/>
        <w:rPr>
          <w:rFonts w:hint="eastAsia" w:ascii="仿宋" w:hAnsi="仿宋" w:eastAsia="仿宋" w:cs="仿宋"/>
          <w:b/>
          <w:bCs/>
          <w:i w:val="0"/>
          <w:iCs w:val="0"/>
          <w:caps w:val="0"/>
          <w:spacing w:val="0"/>
          <w:kern w:val="0"/>
          <w:sz w:val="28"/>
          <w:szCs w:val="28"/>
          <w:shd w:val="clear" w:fill="FFFFFF"/>
          <w:vertAlign w:val="baseline"/>
          <w:lang w:val="en-US" w:eastAsia="zh-CN" w:bidi="ar"/>
        </w:rPr>
      </w:pPr>
      <w:r>
        <w:rPr>
          <w:rFonts w:hint="eastAsia" w:ascii="仿宋" w:hAnsi="仿宋" w:eastAsia="仿宋" w:cs="仿宋"/>
          <w:b/>
          <w:bCs/>
          <w:i w:val="0"/>
          <w:iCs w:val="0"/>
          <w:caps w:val="0"/>
          <w:spacing w:val="0"/>
          <w:kern w:val="0"/>
          <w:sz w:val="28"/>
          <w:szCs w:val="28"/>
          <w:shd w:val="clear" w:fill="FFFFFF"/>
          <w:vertAlign w:val="baseline"/>
          <w:lang w:val="en-US" w:eastAsia="zh-CN" w:bidi="ar"/>
        </w:rPr>
        <w:t>（六）抗凝治疗决策流程</w:t>
      </w:r>
    </w:p>
    <w:p w14:paraId="223E8FB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right="0" w:rightChars="0" w:firstLine="560" w:firstLineChars="200"/>
        <w:jc w:val="both"/>
        <w:textAlignment w:val="baseline"/>
        <w:rPr>
          <w:rFonts w:hint="eastAsia" w:ascii="仿宋" w:hAnsi="仿宋" w:eastAsia="仿宋" w:cs="仿宋"/>
          <w:i w:val="0"/>
          <w:iCs w:val="0"/>
          <w:caps w:val="0"/>
          <w:spacing w:val="0"/>
          <w:kern w:val="0"/>
          <w:sz w:val="28"/>
          <w:szCs w:val="28"/>
          <w:shd w:val="clear" w:fill="FFFFFF"/>
          <w:vertAlign w:val="baseline"/>
          <w:lang w:val="en-US" w:eastAsia="zh-CN" w:bidi="ar"/>
        </w:rPr>
      </w:pPr>
      <w:r>
        <w:rPr>
          <w:rFonts w:hint="eastAsia" w:ascii="仿宋" w:hAnsi="仿宋" w:eastAsia="仿宋" w:cs="仿宋"/>
          <w:i w:val="0"/>
          <w:iCs w:val="0"/>
          <w:caps w:val="0"/>
          <w:spacing w:val="0"/>
          <w:kern w:val="0"/>
          <w:sz w:val="28"/>
          <w:szCs w:val="28"/>
          <w:shd w:val="clear" w:fill="FFFFFF"/>
          <w:vertAlign w:val="baseline"/>
          <w:lang w:val="en-US" w:eastAsia="zh-CN" w:bidi="ar"/>
        </w:rPr>
        <w:t>服务内容的制定立足于“预防-监测-预警-评估-干预-康复”的完整慢病闭环管理模式。编制组首先深入研究了《心房颤动基层诊疗指南》《中国心血管病一级预防指南》等权威文件，并结合村医的实际医疗水平，梳理出适用于老年房颤人群的管理核心内容，包括签约、基线调查、风险评估、健康教育与制定管理计划、效果评估、预警处置等模块。在泰州、扬州、徐州、南京的试点过程中，村医初期对管理内容的掌握欠缺，经过3次的反复培训，并试运行3月后在数字平台辅助下能够完整执行标准所列的各项服务，并在与上级医院的远程联动中完成多学科协作，提升服务闭环的实现率。村医和患者反馈认为，按此服务内容执行不仅提高了患者对房颤疾病的理解和依从性，也强化了村医的专业认知与操作标准性，赋能了基层村医。因此，服务内容指标最终在充分尊重基层实际操作能力与信息化支撑水平的基础上制定，形成通过培训可以实现的“流程可控、职责清晰、干预连续”标准化服务包。</w:t>
      </w:r>
    </w:p>
    <w:p w14:paraId="6E4238B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2" w:firstLineChars="200"/>
        <w:jc w:val="left"/>
        <w:textAlignment w:val="baseline"/>
        <w:outlineLvl w:val="1"/>
        <w:rPr>
          <w:rFonts w:hint="eastAsia" w:ascii="仿宋" w:hAnsi="仿宋" w:eastAsia="仿宋" w:cs="仿宋"/>
          <w:b/>
          <w:bCs/>
          <w:i w:val="0"/>
          <w:iCs w:val="0"/>
          <w:caps w:val="0"/>
          <w:spacing w:val="0"/>
          <w:kern w:val="0"/>
          <w:sz w:val="28"/>
          <w:szCs w:val="28"/>
          <w:shd w:val="clear" w:fill="FFFFFF"/>
          <w:vertAlign w:val="baseline"/>
          <w:lang w:val="en-US" w:eastAsia="zh-CN" w:bidi="ar"/>
        </w:rPr>
      </w:pPr>
      <w:r>
        <w:rPr>
          <w:rFonts w:hint="eastAsia" w:ascii="仿宋" w:hAnsi="仿宋" w:eastAsia="仿宋" w:cs="仿宋"/>
          <w:b/>
          <w:bCs/>
          <w:i w:val="0"/>
          <w:iCs w:val="0"/>
          <w:caps w:val="0"/>
          <w:spacing w:val="0"/>
          <w:kern w:val="0"/>
          <w:sz w:val="28"/>
          <w:szCs w:val="28"/>
          <w:shd w:val="clear" w:fill="FFFFFF"/>
          <w:vertAlign w:val="baseline"/>
          <w:lang w:val="en-US" w:eastAsia="zh-CN" w:bidi="ar"/>
        </w:rPr>
        <w:t>（七）随访频次建议</w:t>
      </w:r>
    </w:p>
    <w:p w14:paraId="52B856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0" w:firstLineChars="200"/>
        <w:jc w:val="left"/>
        <w:textAlignment w:val="baseline"/>
        <w:rPr>
          <w:rFonts w:hint="eastAsia" w:ascii="仿宋" w:hAnsi="仿宋" w:eastAsia="仿宋" w:cs="仿宋"/>
          <w:i w:val="0"/>
          <w:iCs w:val="0"/>
          <w:caps w:val="0"/>
          <w:spacing w:val="0"/>
          <w:kern w:val="0"/>
          <w:sz w:val="28"/>
          <w:szCs w:val="28"/>
          <w:shd w:val="clear" w:fill="FFFFFF"/>
          <w:vertAlign w:val="baseline"/>
          <w:lang w:val="en-US" w:eastAsia="zh-CN" w:bidi="ar"/>
        </w:rPr>
      </w:pPr>
      <w:r>
        <w:rPr>
          <w:rFonts w:hint="eastAsia" w:ascii="仿宋" w:hAnsi="仿宋" w:eastAsia="仿宋" w:cs="仿宋"/>
          <w:i w:val="0"/>
          <w:iCs w:val="0"/>
          <w:caps w:val="0"/>
          <w:spacing w:val="0"/>
          <w:kern w:val="0"/>
          <w:sz w:val="28"/>
          <w:szCs w:val="28"/>
          <w:shd w:val="clear" w:fill="FFFFFF"/>
          <w:vertAlign w:val="baseline"/>
          <w:lang w:val="en-US" w:eastAsia="zh-CN" w:bidi="ar"/>
        </w:rPr>
        <w:t>随访频次的设定是在结合《房颤慢病管理规范》及基层村医接诊负荷的基础上形成的。编制组通过问卷与访谈发现，患者对月度随访认同度较高，而病情稳定患者偏好减少接触频率，因此标准最终设置“高危人群每月随访，控制满意者每三月随访”，并在泰州市高港区93家村卫生室和扬州市江都区28家村卫生室进行试点操作，村医能够按标准完成随访记录及预警识别，证明该频次设计合理、患者接受度高。</w:t>
      </w:r>
    </w:p>
    <w:p w14:paraId="799D31C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2" w:firstLineChars="200"/>
        <w:jc w:val="left"/>
        <w:textAlignment w:val="baseline"/>
        <w:outlineLvl w:val="1"/>
        <w:rPr>
          <w:rFonts w:hint="eastAsia" w:ascii="仿宋" w:hAnsi="仿宋" w:eastAsia="仿宋" w:cs="仿宋"/>
          <w:b/>
          <w:bCs/>
          <w:i w:val="0"/>
          <w:iCs w:val="0"/>
          <w:caps w:val="0"/>
          <w:spacing w:val="0"/>
          <w:kern w:val="0"/>
          <w:sz w:val="28"/>
          <w:szCs w:val="28"/>
          <w:shd w:val="clear" w:fill="FFFFFF"/>
          <w:vertAlign w:val="baseline"/>
          <w:lang w:val="en-US" w:eastAsia="zh-CN" w:bidi="ar"/>
        </w:rPr>
      </w:pPr>
      <w:r>
        <w:rPr>
          <w:rFonts w:hint="eastAsia" w:ascii="仿宋" w:hAnsi="仿宋" w:eastAsia="仿宋" w:cs="仿宋"/>
          <w:b/>
          <w:bCs/>
          <w:i w:val="0"/>
          <w:iCs w:val="0"/>
          <w:caps w:val="0"/>
          <w:spacing w:val="0"/>
          <w:kern w:val="0"/>
          <w:sz w:val="28"/>
          <w:szCs w:val="28"/>
          <w:shd w:val="clear" w:fill="FFFFFF"/>
          <w:vertAlign w:val="baseline"/>
          <w:lang w:val="en-US" w:eastAsia="zh-CN" w:bidi="ar"/>
        </w:rPr>
        <w:t>（八）绩效考核指标设置</w:t>
      </w:r>
    </w:p>
    <w:p w14:paraId="3AAE53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0" w:firstLineChars="200"/>
        <w:jc w:val="left"/>
        <w:textAlignment w:val="baseline"/>
        <w:rPr>
          <w:rFonts w:hint="eastAsia" w:ascii="仿宋" w:hAnsi="仿宋" w:eastAsia="仿宋" w:cs="仿宋"/>
          <w:b/>
          <w:bCs/>
          <w:color w:val="000000"/>
          <w:kern w:val="2"/>
          <w:sz w:val="28"/>
          <w:szCs w:val="28"/>
          <w:lang w:val="en-US" w:eastAsia="zh-CN" w:bidi="ar-SA"/>
        </w:rPr>
      </w:pPr>
      <w:r>
        <w:rPr>
          <w:rFonts w:hint="eastAsia" w:ascii="仿宋" w:hAnsi="仿宋" w:eastAsia="仿宋" w:cs="仿宋"/>
          <w:i w:val="0"/>
          <w:iCs w:val="0"/>
          <w:caps w:val="0"/>
          <w:spacing w:val="0"/>
          <w:kern w:val="0"/>
          <w:sz w:val="28"/>
          <w:szCs w:val="28"/>
          <w:shd w:val="clear" w:fill="FFFFFF"/>
          <w:vertAlign w:val="baseline"/>
          <w:lang w:val="en-US" w:eastAsia="zh-CN" w:bidi="ar"/>
        </w:rPr>
        <w:t>绩效考核指标体系的建立，借鉴了《国家慢病管理绩效考核方案》，结合泰州市现有家庭医生签约服务考核机制与慢病管理平台采集能力。在实地调研中，村医与上级医院共同提出“应考核服务履职率、患者用药依从性、症状改善情况及满意度”等核心指标，这些内容既可以通过系统自动提取数据，也能反映房颤管理的核心成效，最终形成以“过程可追踪、结果可评估”为原则的绩效体系。</w:t>
      </w:r>
    </w:p>
    <w:p w14:paraId="3A23EB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482" w:firstLineChars="200"/>
        <w:jc w:val="left"/>
        <w:textAlignment w:val="baseline"/>
        <w:rPr>
          <w:rFonts w:hint="default" w:ascii="Times New Roman" w:hAnsi="Times New Roman" w:eastAsia="宋体" w:cs="Times New Roman"/>
          <w:b/>
          <w:bCs/>
          <w:color w:val="000000"/>
          <w:kern w:val="2"/>
          <w:sz w:val="24"/>
          <w:szCs w:val="24"/>
          <w:lang w:val="en-US" w:eastAsia="zh-CN" w:bidi="ar-SA"/>
        </w:rPr>
      </w:pPr>
    </w:p>
    <w:p w14:paraId="77E9739A">
      <w:pPr>
        <w:numPr>
          <w:ilvl w:val="0"/>
          <w:numId w:val="4"/>
        </w:numPr>
        <w:autoSpaceDE w:val="0"/>
        <w:autoSpaceDN w:val="0"/>
        <w:adjustRightInd w:val="0"/>
        <w:spacing w:line="560" w:lineRule="exact"/>
        <w:ind w:firstLine="643" w:firstLineChars="200"/>
        <w:outlineLvl w:val="0"/>
        <w:rPr>
          <w:rFonts w:hint="default" w:ascii="Times New Roman" w:hAnsi="Times New Roman" w:eastAsia="黑体" w:cs="Times New Roman"/>
          <w:b/>
          <w:color w:val="000000"/>
          <w:sz w:val="32"/>
          <w:szCs w:val="32"/>
          <w:lang w:val="en-US" w:eastAsia="zh-CN"/>
        </w:rPr>
      </w:pPr>
      <w:r>
        <w:rPr>
          <w:rFonts w:hint="default" w:ascii="Times New Roman" w:hAnsi="Times New Roman" w:eastAsia="黑体" w:cs="Times New Roman"/>
          <w:b/>
          <w:color w:val="000000"/>
          <w:sz w:val="32"/>
          <w:szCs w:val="32"/>
          <w:lang w:val="en-US" w:eastAsia="zh-CN"/>
        </w:rPr>
        <w:t>重大分歧意见的处理过程和依据</w:t>
      </w:r>
    </w:p>
    <w:p w14:paraId="4B7284A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40" w:lineRule="exact"/>
        <w:ind w:left="0" w:right="0" w:firstLine="560" w:firstLineChars="200"/>
        <w:jc w:val="left"/>
        <w:textAlignment w:val="baseline"/>
        <w:rPr>
          <w:rStyle w:val="8"/>
          <w:rFonts w:hint="eastAsia" w:ascii="仿宋" w:hAnsi="仿宋" w:eastAsia="仿宋" w:cs="仿宋"/>
          <w:b w:val="0"/>
          <w:bCs w:val="0"/>
          <w:i w:val="0"/>
          <w:iCs w:val="0"/>
          <w:caps w:val="0"/>
          <w:spacing w:val="0"/>
          <w:kern w:val="0"/>
          <w:sz w:val="28"/>
          <w:szCs w:val="28"/>
          <w:shd w:val="clear" w:fill="FFFFFF"/>
          <w:vertAlign w:val="baseline"/>
          <w:lang w:val="en-US" w:eastAsia="zh-CN" w:bidi="ar"/>
        </w:rPr>
      </w:pPr>
      <w:r>
        <w:rPr>
          <w:rStyle w:val="8"/>
          <w:rFonts w:hint="eastAsia" w:ascii="仿宋" w:hAnsi="仿宋" w:eastAsia="仿宋" w:cs="仿宋"/>
          <w:b w:val="0"/>
          <w:bCs w:val="0"/>
          <w:i w:val="0"/>
          <w:iCs w:val="0"/>
          <w:caps w:val="0"/>
          <w:spacing w:val="0"/>
          <w:kern w:val="0"/>
          <w:sz w:val="28"/>
          <w:szCs w:val="28"/>
          <w:shd w:val="clear" w:fill="FFFFFF"/>
          <w:vertAlign w:val="baseline"/>
          <w:lang w:val="en-US" w:eastAsia="zh-CN" w:bidi="ar"/>
        </w:rPr>
        <w:t>无</w:t>
      </w:r>
    </w:p>
    <w:p w14:paraId="7E3427AE">
      <w:pPr>
        <w:autoSpaceDE w:val="0"/>
        <w:autoSpaceDN w:val="0"/>
        <w:adjustRightInd w:val="0"/>
        <w:spacing w:line="560" w:lineRule="exact"/>
        <w:ind w:firstLine="643" w:firstLineChars="200"/>
        <w:outlineLvl w:val="0"/>
        <w:rPr>
          <w:rFonts w:hint="default" w:ascii="Times New Roman" w:hAnsi="Times New Roman" w:eastAsia="黑体" w:cs="Times New Roman"/>
          <w:b/>
          <w:color w:val="000000"/>
          <w:sz w:val="32"/>
          <w:szCs w:val="32"/>
          <w:lang w:val="en-US" w:eastAsia="zh-CN"/>
        </w:rPr>
      </w:pPr>
      <w:r>
        <w:rPr>
          <w:rFonts w:hint="default" w:ascii="Times New Roman" w:hAnsi="Times New Roman" w:eastAsia="黑体" w:cs="Times New Roman"/>
          <w:b/>
          <w:color w:val="000000"/>
          <w:sz w:val="32"/>
          <w:szCs w:val="32"/>
          <w:lang w:val="en-US" w:eastAsia="zh-CN"/>
        </w:rPr>
        <w:t>七、与相关法律法规和标准的关系</w:t>
      </w:r>
    </w:p>
    <w:p w14:paraId="4ADFB32F">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仿宋" w:hAnsi="仿宋" w:eastAsia="仿宋" w:cs="仿宋"/>
          <w:color w:val="000000"/>
          <w:kern w:val="0"/>
          <w:sz w:val="28"/>
          <w:szCs w:val="28"/>
          <w:lang w:bidi="ar"/>
        </w:rPr>
      </w:pPr>
      <w:r>
        <w:rPr>
          <w:rFonts w:hint="eastAsia" w:ascii="仿宋" w:hAnsi="仿宋" w:eastAsia="仿宋" w:cs="仿宋"/>
          <w:color w:val="000000"/>
          <w:kern w:val="0"/>
          <w:sz w:val="28"/>
          <w:szCs w:val="28"/>
          <w:lang w:bidi="ar"/>
        </w:rPr>
        <w:t>本标准符合我国有关法律、法规，遵循国际惯例，技术先进、经济合理、安全可靠。保持与现行行业标准一致性的原则，立足我国国情，在起草过程中，编写组对江苏省泰州市、徐州市</w:t>
      </w:r>
      <w:r>
        <w:rPr>
          <w:rFonts w:hint="eastAsia" w:ascii="仿宋" w:hAnsi="仿宋" w:eastAsia="仿宋" w:cs="仿宋"/>
          <w:color w:val="000000"/>
          <w:kern w:val="0"/>
          <w:sz w:val="28"/>
          <w:szCs w:val="28"/>
          <w:lang w:eastAsia="zh-CN" w:bidi="ar"/>
        </w:rPr>
        <w:t>、</w:t>
      </w:r>
      <w:r>
        <w:rPr>
          <w:rFonts w:hint="eastAsia" w:ascii="仿宋" w:hAnsi="仿宋" w:eastAsia="仿宋" w:cs="仿宋"/>
          <w:color w:val="000000"/>
          <w:kern w:val="0"/>
          <w:sz w:val="28"/>
          <w:szCs w:val="28"/>
          <w:lang w:val="en-US" w:eastAsia="zh-CN" w:bidi="ar"/>
        </w:rPr>
        <w:t>扬州市、、无锡市、南京市</w:t>
      </w:r>
      <w:r>
        <w:rPr>
          <w:rFonts w:hint="eastAsia" w:ascii="仿宋" w:hAnsi="仿宋" w:eastAsia="仿宋" w:cs="仿宋"/>
          <w:color w:val="000000"/>
          <w:kern w:val="0"/>
          <w:sz w:val="28"/>
          <w:szCs w:val="28"/>
          <w:lang w:bidi="ar"/>
        </w:rPr>
        <w:t>等相关医疗卫生服务部门及村卫生室内进行了实地调研，找出差异，决定在保持原有</w:t>
      </w:r>
      <w:r>
        <w:rPr>
          <w:rFonts w:hint="eastAsia" w:ascii="仿宋" w:hAnsi="仿宋" w:eastAsia="仿宋" w:cs="仿宋"/>
          <w:color w:val="000000"/>
          <w:kern w:val="0"/>
          <w:sz w:val="28"/>
          <w:szCs w:val="28"/>
          <w:lang w:val="en-US" w:eastAsia="zh-CN" w:bidi="ar"/>
        </w:rPr>
        <w:t>村卫生室</w:t>
      </w:r>
      <w:r>
        <w:rPr>
          <w:rFonts w:hint="eastAsia" w:ascii="仿宋" w:hAnsi="仿宋" w:eastAsia="仿宋" w:cs="仿宋"/>
          <w:color w:val="000000"/>
          <w:kern w:val="0"/>
          <w:sz w:val="28"/>
          <w:szCs w:val="28"/>
          <w:lang w:bidi="ar"/>
        </w:rPr>
        <w:t>不变的情况下，进行了</w:t>
      </w:r>
      <w:r>
        <w:rPr>
          <w:rFonts w:hint="eastAsia" w:ascii="仿宋" w:hAnsi="仿宋" w:eastAsia="仿宋" w:cs="仿宋"/>
          <w:color w:val="000000"/>
          <w:kern w:val="0"/>
          <w:sz w:val="28"/>
          <w:szCs w:val="28"/>
          <w:lang w:val="en-US" w:eastAsia="zh-CN" w:bidi="ar"/>
        </w:rPr>
        <w:t>智慧化改造</w:t>
      </w:r>
      <w:r>
        <w:rPr>
          <w:rFonts w:hint="eastAsia" w:ascii="仿宋" w:hAnsi="仿宋" w:eastAsia="仿宋" w:cs="仿宋"/>
          <w:color w:val="000000"/>
          <w:kern w:val="0"/>
          <w:sz w:val="28"/>
          <w:szCs w:val="28"/>
          <w:lang w:bidi="ar"/>
        </w:rPr>
        <w:t>，结合实际、充分吸纳地方优秀实践。制定本标准时，编</w:t>
      </w:r>
      <w:bookmarkStart w:id="1" w:name="OLE_LINK4"/>
      <w:r>
        <w:rPr>
          <w:rFonts w:hint="eastAsia" w:ascii="仿宋" w:hAnsi="仿宋" w:eastAsia="仿宋" w:cs="仿宋"/>
          <w:color w:val="000000"/>
          <w:kern w:val="0"/>
          <w:sz w:val="28"/>
          <w:szCs w:val="28"/>
          <w:lang w:bidi="ar"/>
        </w:rPr>
        <w:t>写组通过材料收集、座谈、研讨等多种形式广泛获取相关资料，并吸纳了国内老年人基层房颤管理的成熟经验，以及江苏省人民医院、</w:t>
      </w:r>
      <w:r>
        <w:rPr>
          <w:rFonts w:hint="eastAsia" w:ascii="仿宋" w:hAnsi="仿宋" w:eastAsia="仿宋" w:cs="仿宋"/>
          <w:color w:val="000000"/>
          <w:kern w:val="0"/>
          <w:sz w:val="28"/>
          <w:szCs w:val="28"/>
          <w:lang w:val="en-US" w:eastAsia="zh-CN" w:bidi="ar"/>
        </w:rPr>
        <w:t>泰州市人民</w:t>
      </w:r>
      <w:r>
        <w:rPr>
          <w:rFonts w:hint="eastAsia" w:ascii="仿宋" w:hAnsi="仿宋" w:eastAsia="仿宋" w:cs="仿宋"/>
          <w:color w:val="000000"/>
          <w:kern w:val="0"/>
          <w:sz w:val="28"/>
          <w:szCs w:val="28"/>
          <w:lang w:bidi="ar"/>
        </w:rPr>
        <w:t>医院等单位的优秀做法，进行整理、提炼，确保标准的针对性和有效性。在</w:t>
      </w:r>
      <w:r>
        <w:rPr>
          <w:rFonts w:hint="eastAsia" w:ascii="仿宋" w:hAnsi="仿宋" w:eastAsia="仿宋" w:cs="仿宋"/>
          <w:color w:val="000000"/>
          <w:kern w:val="0"/>
          <w:sz w:val="28"/>
          <w:szCs w:val="28"/>
          <w:lang w:eastAsia="zh-CN" w:bidi="ar"/>
        </w:rPr>
        <w:t>“</w:t>
      </w:r>
      <w:r>
        <w:rPr>
          <w:rFonts w:hint="eastAsia" w:ascii="仿宋" w:hAnsi="仿宋" w:eastAsia="仿宋" w:cs="仿宋"/>
          <w:color w:val="000000"/>
          <w:kern w:val="0"/>
          <w:sz w:val="28"/>
          <w:szCs w:val="28"/>
          <w:lang w:bidi="ar"/>
        </w:rPr>
        <w:t>修改采用</w:t>
      </w:r>
      <w:r>
        <w:rPr>
          <w:rFonts w:hint="eastAsia" w:ascii="仿宋" w:hAnsi="仿宋" w:eastAsia="仿宋" w:cs="仿宋"/>
          <w:color w:val="000000"/>
          <w:kern w:val="0"/>
          <w:sz w:val="28"/>
          <w:szCs w:val="28"/>
          <w:lang w:eastAsia="zh-CN" w:bidi="ar"/>
        </w:rPr>
        <w:t>”</w:t>
      </w:r>
      <w:r>
        <w:rPr>
          <w:rFonts w:hint="eastAsia" w:ascii="仿宋" w:hAnsi="仿宋" w:eastAsia="仿宋" w:cs="仿宋"/>
          <w:color w:val="000000"/>
          <w:kern w:val="0"/>
          <w:sz w:val="28"/>
          <w:szCs w:val="28"/>
          <w:lang w:bidi="ar"/>
        </w:rPr>
        <w:t>时，起草组坚持严格按照GB/T 1.1—2020的要求</w:t>
      </w:r>
      <w:bookmarkEnd w:id="1"/>
      <w:r>
        <w:rPr>
          <w:rFonts w:hint="eastAsia" w:ascii="仿宋" w:hAnsi="仿宋" w:eastAsia="仿宋" w:cs="仿宋"/>
          <w:color w:val="000000"/>
          <w:kern w:val="0"/>
          <w:sz w:val="28"/>
          <w:szCs w:val="28"/>
          <w:lang w:bidi="ar"/>
        </w:rPr>
        <w:t>编写，注重与现行医疗相关标准的衔接与协调，标准中的相关术语，严格按照已发布的行业标准进行表述，确保表述和用语的严谨性、一致性，确保标准的规范性。</w:t>
      </w:r>
    </w:p>
    <w:p w14:paraId="1830BAD5">
      <w:pPr>
        <w:keepNext w:val="0"/>
        <w:keepLines w:val="0"/>
        <w:pageBreakBefore w:val="0"/>
        <w:widowControl/>
        <w:kinsoku/>
        <w:wordWrap/>
        <w:overflowPunct/>
        <w:topLinePunct w:val="0"/>
        <w:autoSpaceDE/>
        <w:autoSpaceDN/>
        <w:bidi w:val="0"/>
        <w:adjustRightInd/>
        <w:snapToGrid/>
        <w:spacing w:line="440" w:lineRule="exact"/>
        <w:ind w:firstLine="560" w:firstLineChars="200"/>
        <w:jc w:val="left"/>
        <w:textAlignment w:val="auto"/>
        <w:rPr>
          <w:rFonts w:hint="eastAsia" w:ascii="仿宋" w:hAnsi="仿宋" w:eastAsia="仿宋" w:cs="仿宋"/>
          <w:kern w:val="2"/>
          <w:sz w:val="28"/>
          <w:szCs w:val="28"/>
        </w:rPr>
      </w:pPr>
      <w:r>
        <w:rPr>
          <w:rFonts w:hint="eastAsia" w:ascii="仿宋" w:hAnsi="仿宋" w:eastAsia="仿宋" w:cs="仿宋"/>
          <w:color w:val="000000"/>
          <w:kern w:val="0"/>
          <w:sz w:val="28"/>
          <w:szCs w:val="28"/>
          <w:lang w:bidi="ar"/>
        </w:rPr>
        <w:t>本标准旨在建立</w:t>
      </w:r>
      <w:r>
        <w:rPr>
          <w:rFonts w:hint="eastAsia" w:ascii="仿宋" w:hAnsi="仿宋" w:eastAsia="仿宋" w:cs="仿宋"/>
          <w:color w:val="000000"/>
          <w:kern w:val="0"/>
          <w:sz w:val="28"/>
          <w:szCs w:val="28"/>
          <w:lang w:eastAsia="zh-CN" w:bidi="ar"/>
        </w:rPr>
        <w:t>“</w:t>
      </w:r>
      <w:r>
        <w:rPr>
          <w:rFonts w:hint="eastAsia" w:ascii="仿宋" w:hAnsi="仿宋" w:eastAsia="仿宋" w:cs="仿宋"/>
          <w:color w:val="000000"/>
          <w:kern w:val="0"/>
          <w:sz w:val="28"/>
          <w:szCs w:val="28"/>
          <w:lang w:bidi="ar"/>
        </w:rPr>
        <w:t>预防、监测、评估、预警、干预</w:t>
      </w:r>
      <w:r>
        <w:rPr>
          <w:rFonts w:hint="eastAsia" w:ascii="仿宋" w:hAnsi="仿宋" w:eastAsia="仿宋" w:cs="仿宋"/>
          <w:color w:val="000000"/>
          <w:kern w:val="0"/>
          <w:sz w:val="28"/>
          <w:szCs w:val="28"/>
          <w:lang w:eastAsia="zh-CN" w:bidi="ar"/>
        </w:rPr>
        <w:t>、</w:t>
      </w:r>
      <w:r>
        <w:rPr>
          <w:rFonts w:hint="eastAsia" w:ascii="仿宋" w:hAnsi="仿宋" w:eastAsia="仿宋" w:cs="仿宋"/>
          <w:color w:val="000000"/>
          <w:kern w:val="0"/>
          <w:sz w:val="28"/>
          <w:szCs w:val="28"/>
          <w:lang w:val="en-US" w:eastAsia="zh-CN" w:bidi="ar"/>
        </w:rPr>
        <w:t>康复</w:t>
      </w:r>
      <w:r>
        <w:rPr>
          <w:rFonts w:hint="eastAsia" w:ascii="仿宋" w:hAnsi="仿宋" w:eastAsia="仿宋" w:cs="仿宋"/>
          <w:color w:val="000000"/>
          <w:kern w:val="0"/>
          <w:sz w:val="28"/>
          <w:szCs w:val="28"/>
          <w:lang w:eastAsia="zh-CN" w:bidi="ar"/>
        </w:rPr>
        <w:t>”</w:t>
      </w:r>
      <w:r>
        <w:rPr>
          <w:rFonts w:hint="eastAsia" w:ascii="仿宋" w:hAnsi="仿宋" w:eastAsia="仿宋" w:cs="仿宋"/>
          <w:color w:val="000000"/>
          <w:kern w:val="0"/>
          <w:sz w:val="28"/>
          <w:szCs w:val="28"/>
          <w:lang w:val="en-US" w:eastAsia="zh-CN" w:bidi="ar"/>
        </w:rPr>
        <w:t>六</w:t>
      </w:r>
      <w:r>
        <w:rPr>
          <w:rFonts w:hint="eastAsia" w:ascii="仿宋" w:hAnsi="仿宋" w:eastAsia="仿宋" w:cs="仿宋"/>
          <w:color w:val="000000"/>
          <w:kern w:val="0"/>
          <w:sz w:val="28"/>
          <w:szCs w:val="28"/>
          <w:lang w:bidi="ar"/>
        </w:rPr>
        <w:t>位一体的老年心房颤动管理模式化、流程智能化、诊疗同质化、场景多元化、干预精准化的远程管理和智能康复协同发展体系。在行业内具有一定的先进性和较强的可操作。编写组结合实际、充分吸纳优秀实践。以标准的形式将优秀实践固化、复制和推广，确保标准的针对性和有效性。</w:t>
      </w:r>
    </w:p>
    <w:p w14:paraId="213C0365">
      <w:pPr>
        <w:keepNext w:val="0"/>
        <w:keepLines w:val="0"/>
        <w:pageBreakBefore w:val="0"/>
        <w:kinsoku/>
        <w:wordWrap/>
        <w:overflowPunct/>
        <w:topLinePunct w:val="0"/>
        <w:autoSpaceDE w:val="0"/>
        <w:autoSpaceDN w:val="0"/>
        <w:bidi w:val="0"/>
        <w:adjustRightInd w:val="0"/>
        <w:snapToGrid/>
        <w:spacing w:line="440" w:lineRule="atLeast"/>
        <w:ind w:firstLine="643" w:firstLineChars="200"/>
        <w:textAlignment w:val="auto"/>
        <w:outlineLvl w:val="0"/>
        <w:rPr>
          <w:rFonts w:hint="default" w:ascii="Times New Roman" w:hAnsi="Times New Roman" w:eastAsia="黑体" w:cs="Times New Roman"/>
          <w:b/>
          <w:color w:val="000000"/>
          <w:sz w:val="32"/>
          <w:szCs w:val="32"/>
        </w:rPr>
      </w:pPr>
      <w:r>
        <w:rPr>
          <w:rFonts w:hint="default" w:ascii="Times New Roman" w:hAnsi="Times New Roman" w:eastAsia="黑体" w:cs="Times New Roman"/>
          <w:b/>
          <w:color w:val="000000"/>
          <w:sz w:val="32"/>
          <w:szCs w:val="32"/>
          <w:lang w:val="en-US" w:eastAsia="zh-CN"/>
        </w:rPr>
        <w:t>八</w:t>
      </w:r>
      <w:r>
        <w:rPr>
          <w:rFonts w:hint="default" w:ascii="Times New Roman" w:hAnsi="Times New Roman" w:eastAsia="黑体" w:cs="Times New Roman"/>
          <w:b/>
          <w:color w:val="000000"/>
          <w:sz w:val="32"/>
          <w:szCs w:val="32"/>
        </w:rPr>
        <w:t>、推广实施建议</w:t>
      </w:r>
    </w:p>
    <w:p w14:paraId="3D17FD34">
      <w:pPr>
        <w:pStyle w:val="10"/>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1"/>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（一）组织培训</w:t>
      </w:r>
    </w:p>
    <w:p w14:paraId="3BA27481">
      <w:pPr>
        <w:pStyle w:val="10"/>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为更好的贯彻标准化实施，本标准发布后，建议由省卫生健康委员会牵头，在相关部门的配合下，在全省村卫生室及社区卫生服务中心进行宣传贯彻标准工作。举行贯标培训，对医护人员进行相应设备设施，信息系统，服务流程反复培训，宣贯老年人心房颤动管理与服务的基础知识，有效的推进标准实施，发挥标准提升村卫生室老年人心房颤动管理与服务能力的作用。</w:t>
      </w:r>
    </w:p>
    <w:p w14:paraId="2B541BFE">
      <w:pPr>
        <w:pStyle w:val="10"/>
        <w:keepNext w:val="0"/>
        <w:keepLines w:val="0"/>
        <w:pageBreakBefore w:val="0"/>
        <w:widowControl w:val="0"/>
        <w:kinsoku/>
        <w:wordWrap/>
        <w:overflowPunct/>
        <w:topLinePunct w:val="0"/>
        <w:autoSpaceDE w:val="0"/>
        <w:autoSpaceDN w:val="0"/>
        <w:bidi w:val="0"/>
        <w:adjustRightInd w:val="0"/>
        <w:snapToGrid/>
        <w:spacing w:line="440" w:lineRule="exact"/>
        <w:ind w:firstLine="562" w:firstLineChars="200"/>
        <w:jc w:val="both"/>
        <w:textAlignment w:val="auto"/>
        <w:outlineLvl w:val="1"/>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（二）贯标试点</w:t>
      </w:r>
    </w:p>
    <w:p w14:paraId="57AB9829">
      <w:pPr>
        <w:pStyle w:val="10"/>
        <w:keepNext w:val="0"/>
        <w:keepLines w:val="0"/>
        <w:pageBreakBefore w:val="0"/>
        <w:widowControl w:val="0"/>
        <w:kinsoku/>
        <w:wordWrap/>
        <w:overflowPunct/>
        <w:topLinePunct w:val="0"/>
        <w:autoSpaceDE w:val="0"/>
        <w:autoSpaceDN w:val="0"/>
        <w:bidi w:val="0"/>
        <w:adjustRightInd w:val="0"/>
        <w:snapToGrid/>
        <w:spacing w:line="440" w:lineRule="exact"/>
        <w:ind w:firstLine="560" w:firstLineChars="200"/>
        <w:jc w:val="both"/>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可以有针对性地开展试点工作，选择基础条件好、有一定代表性的村卫生室开展基于智慧化村卫生室的老年人心房颤动管理与服务规范试点工作。在试点过程中不断收集意见和建议，做好标准的修订、完善工作，进而在全省推广，推动评价体系科学性和可操作性。</w:t>
      </w:r>
    </w:p>
    <w:p w14:paraId="7EE6AB9D">
      <w:pPr>
        <w:pStyle w:val="10"/>
        <w:keepNext w:val="0"/>
        <w:keepLines w:val="0"/>
        <w:pageBreakBefore w:val="0"/>
        <w:widowControl w:val="0"/>
        <w:numPr>
          <w:ilvl w:val="0"/>
          <w:numId w:val="5"/>
        </w:numPr>
        <w:kinsoku/>
        <w:wordWrap/>
        <w:overflowPunct/>
        <w:topLinePunct w:val="0"/>
        <w:autoSpaceDE w:val="0"/>
        <w:autoSpaceDN w:val="0"/>
        <w:bidi w:val="0"/>
        <w:adjustRightInd w:val="0"/>
        <w:snapToGrid/>
        <w:spacing w:line="440" w:lineRule="exact"/>
        <w:ind w:firstLine="562" w:firstLineChars="200"/>
        <w:jc w:val="both"/>
        <w:textAlignment w:val="auto"/>
        <w:outlineLvl w:val="1"/>
        <w:rPr>
          <w:rFonts w:hint="eastAsia" w:ascii="仿宋" w:hAnsi="仿宋" w:eastAsia="仿宋" w:cs="仿宋"/>
          <w:b/>
          <w:bCs/>
          <w:color w:val="000000"/>
          <w:kern w:val="0"/>
          <w:sz w:val="28"/>
          <w:szCs w:val="28"/>
          <w:lang w:val="en-US" w:eastAsia="zh-CN" w:bidi="ar"/>
        </w:rPr>
      </w:pPr>
      <w:r>
        <w:rPr>
          <w:rFonts w:hint="eastAsia" w:ascii="仿宋" w:hAnsi="仿宋" w:eastAsia="仿宋" w:cs="仿宋"/>
          <w:b/>
          <w:bCs/>
          <w:color w:val="000000"/>
          <w:kern w:val="0"/>
          <w:sz w:val="28"/>
          <w:szCs w:val="28"/>
          <w:lang w:val="en-US" w:eastAsia="zh-CN" w:bidi="ar"/>
        </w:rPr>
        <w:t>标准实施评价</w:t>
      </w:r>
    </w:p>
    <w:p w14:paraId="51C166E5">
      <w:pPr>
        <w:pStyle w:val="10"/>
        <w:keepNext w:val="0"/>
        <w:keepLines w:val="0"/>
        <w:pageBreakBefore w:val="0"/>
        <w:widowControl w:val="0"/>
        <w:numPr>
          <w:ilvl w:val="0"/>
          <w:numId w:val="0"/>
        </w:numPr>
        <w:kinsoku/>
        <w:wordWrap/>
        <w:overflowPunct/>
        <w:topLinePunct w:val="0"/>
        <w:autoSpaceDE w:val="0"/>
        <w:autoSpaceDN w:val="0"/>
        <w:bidi w:val="0"/>
        <w:adjustRightInd w:val="0"/>
        <w:snapToGrid/>
        <w:spacing w:line="440" w:lineRule="exact"/>
        <w:ind w:firstLine="560" w:firstLineChars="200"/>
        <w:jc w:val="both"/>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积极探索建立标准实施效果评价机制，建立评价细则，对标准实施情况进行监督、检查和评价；并进一步向全国层面推广，推动基于智慧化村卫生室的老年人心房颤动管理与服务规范，争取上升为国家级标准。</w:t>
      </w:r>
      <w:bookmarkEnd w:id="0"/>
    </w:p>
    <w:p w14:paraId="244C95FD">
      <w:pPr>
        <w:autoSpaceDE w:val="0"/>
        <w:autoSpaceDN w:val="0"/>
        <w:adjustRightInd w:val="0"/>
        <w:spacing w:line="560" w:lineRule="exact"/>
        <w:ind w:firstLine="643" w:firstLineChars="200"/>
        <w:outlineLvl w:val="0"/>
        <w:rPr>
          <w:rFonts w:hint="default" w:ascii="Times New Roman" w:hAnsi="Times New Roman" w:eastAsia="黑体" w:cs="Times New Roman"/>
          <w:sz w:val="28"/>
          <w:szCs w:val="28"/>
          <w:lang w:val="en-US" w:eastAsia="zh-CN"/>
        </w:rPr>
      </w:pPr>
      <w:r>
        <w:rPr>
          <w:rFonts w:hint="default" w:ascii="Times New Roman" w:hAnsi="Times New Roman" w:eastAsia="黑体" w:cs="Times New Roman"/>
          <w:b/>
          <w:color w:val="000000"/>
          <w:sz w:val="32"/>
          <w:szCs w:val="32"/>
          <w:lang w:val="en-US" w:eastAsia="zh-CN"/>
        </w:rPr>
        <w:t>九、起草单位和起草人员信息及分工</w:t>
      </w:r>
    </w:p>
    <w:tbl>
      <w:tblPr>
        <w:tblStyle w:val="6"/>
        <w:tblW w:w="84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7"/>
        <w:gridCol w:w="1420"/>
        <w:gridCol w:w="1814"/>
        <w:gridCol w:w="1420"/>
        <w:gridCol w:w="3061"/>
      </w:tblGrid>
      <w:tr w14:paraId="5633A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0CB757E2">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b/>
                <w:bCs/>
                <w:i w:val="0"/>
                <w:iCs w:val="0"/>
                <w:caps w:val="0"/>
                <w:spacing w:val="5"/>
                <w:kern w:val="0"/>
                <w:sz w:val="21"/>
                <w:szCs w:val="21"/>
                <w:vertAlign w:val="baseline"/>
                <w:lang w:val="en-US" w:eastAsia="zh-CN" w:bidi="ar"/>
              </w:rPr>
              <w:t>序号</w:t>
            </w:r>
          </w:p>
        </w:tc>
        <w:tc>
          <w:tcPr>
            <w:tcW w:w="1420" w:type="dxa"/>
            <w:vAlign w:val="top"/>
          </w:tcPr>
          <w:p w14:paraId="590023DE">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b/>
                <w:bCs/>
                <w:i w:val="0"/>
                <w:iCs w:val="0"/>
                <w:caps w:val="0"/>
                <w:spacing w:val="5"/>
                <w:kern w:val="0"/>
                <w:sz w:val="21"/>
                <w:szCs w:val="21"/>
                <w:vertAlign w:val="baseline"/>
                <w:lang w:val="en-US" w:eastAsia="zh-CN" w:bidi="ar"/>
              </w:rPr>
              <w:t>姓名</w:t>
            </w:r>
          </w:p>
        </w:tc>
        <w:tc>
          <w:tcPr>
            <w:tcW w:w="1814" w:type="dxa"/>
            <w:vAlign w:val="top"/>
          </w:tcPr>
          <w:p w14:paraId="03A9E156">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b/>
                <w:bCs/>
                <w:i w:val="0"/>
                <w:iCs w:val="0"/>
                <w:caps w:val="0"/>
                <w:spacing w:val="5"/>
                <w:kern w:val="0"/>
                <w:sz w:val="21"/>
                <w:szCs w:val="21"/>
                <w:vertAlign w:val="baseline"/>
                <w:lang w:val="en-US" w:eastAsia="zh-CN" w:bidi="ar"/>
              </w:rPr>
              <w:t>单位名称</w:t>
            </w:r>
          </w:p>
        </w:tc>
        <w:tc>
          <w:tcPr>
            <w:tcW w:w="1420" w:type="dxa"/>
            <w:vAlign w:val="top"/>
          </w:tcPr>
          <w:p w14:paraId="250D0A37">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b/>
                <w:bCs/>
                <w:i w:val="0"/>
                <w:iCs w:val="0"/>
                <w:caps w:val="0"/>
                <w:spacing w:val="5"/>
                <w:kern w:val="0"/>
                <w:sz w:val="21"/>
                <w:szCs w:val="21"/>
                <w:vertAlign w:val="baseline"/>
                <w:lang w:val="en-US" w:eastAsia="zh-CN" w:bidi="ar"/>
              </w:rPr>
              <w:t>职务/职称</w:t>
            </w:r>
          </w:p>
        </w:tc>
        <w:tc>
          <w:tcPr>
            <w:tcW w:w="3061" w:type="dxa"/>
            <w:vAlign w:val="top"/>
          </w:tcPr>
          <w:p w14:paraId="12E6C25D">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b/>
                <w:bCs/>
                <w:i w:val="0"/>
                <w:iCs w:val="0"/>
                <w:caps w:val="0"/>
                <w:spacing w:val="5"/>
                <w:kern w:val="0"/>
                <w:sz w:val="21"/>
                <w:szCs w:val="21"/>
                <w:vertAlign w:val="baseline"/>
                <w:lang w:val="en-US" w:eastAsia="zh-CN" w:bidi="ar"/>
              </w:rPr>
              <w:t>项目分工</w:t>
            </w:r>
          </w:p>
        </w:tc>
      </w:tr>
      <w:tr w14:paraId="3BB38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608B2F06">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1</w:t>
            </w:r>
          </w:p>
        </w:tc>
        <w:tc>
          <w:tcPr>
            <w:tcW w:w="1420" w:type="dxa"/>
            <w:vAlign w:val="top"/>
          </w:tcPr>
          <w:p w14:paraId="79149360">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陈明龙</w:t>
            </w:r>
          </w:p>
        </w:tc>
        <w:tc>
          <w:tcPr>
            <w:tcW w:w="1814" w:type="dxa"/>
            <w:vAlign w:val="top"/>
          </w:tcPr>
          <w:p w14:paraId="766929DD">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泰州市人民医院</w:t>
            </w:r>
          </w:p>
        </w:tc>
        <w:tc>
          <w:tcPr>
            <w:tcW w:w="1420" w:type="dxa"/>
            <w:vAlign w:val="top"/>
          </w:tcPr>
          <w:p w14:paraId="578D8E80">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院长</w:t>
            </w:r>
          </w:p>
        </w:tc>
        <w:tc>
          <w:tcPr>
            <w:tcW w:w="3061" w:type="dxa"/>
            <w:vAlign w:val="top"/>
          </w:tcPr>
          <w:p w14:paraId="4581D7E3">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eastAsia" w:cs="Times New Roman"/>
                <w:i w:val="0"/>
                <w:iCs w:val="0"/>
                <w:caps w:val="0"/>
                <w:spacing w:val="5"/>
                <w:kern w:val="0"/>
                <w:sz w:val="21"/>
                <w:szCs w:val="21"/>
                <w:vertAlign w:val="baseline"/>
                <w:lang w:val="en-US" w:eastAsia="zh-CN" w:bidi="ar"/>
              </w:rPr>
              <w:t>前言</w:t>
            </w:r>
          </w:p>
        </w:tc>
      </w:tr>
      <w:tr w14:paraId="099BC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73C3563B">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2</w:t>
            </w:r>
          </w:p>
        </w:tc>
        <w:tc>
          <w:tcPr>
            <w:tcW w:w="1420" w:type="dxa"/>
            <w:vAlign w:val="top"/>
          </w:tcPr>
          <w:p w14:paraId="34F37ED3">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褚明</w:t>
            </w:r>
          </w:p>
        </w:tc>
        <w:tc>
          <w:tcPr>
            <w:tcW w:w="1814" w:type="dxa"/>
            <w:vAlign w:val="top"/>
          </w:tcPr>
          <w:p w14:paraId="0B0CDB71">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泰州市人民医院</w:t>
            </w:r>
          </w:p>
        </w:tc>
        <w:tc>
          <w:tcPr>
            <w:tcW w:w="1420" w:type="dxa"/>
            <w:vAlign w:val="top"/>
          </w:tcPr>
          <w:p w14:paraId="627C53C7">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副院长</w:t>
            </w:r>
          </w:p>
        </w:tc>
        <w:tc>
          <w:tcPr>
            <w:tcW w:w="3061" w:type="dxa"/>
            <w:vAlign w:val="top"/>
          </w:tcPr>
          <w:p w14:paraId="5B6EEE5D">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eastAsia" w:cs="Times New Roman"/>
                <w:i w:val="0"/>
                <w:iCs w:val="0"/>
                <w:caps w:val="0"/>
                <w:spacing w:val="5"/>
                <w:kern w:val="0"/>
                <w:sz w:val="21"/>
                <w:szCs w:val="21"/>
                <w:vertAlign w:val="baseline"/>
                <w:lang w:val="en-US" w:eastAsia="zh-CN" w:bidi="ar"/>
              </w:rPr>
              <w:t>第1、4章节</w:t>
            </w:r>
          </w:p>
        </w:tc>
      </w:tr>
      <w:tr w14:paraId="2D102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32826E10">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3</w:t>
            </w:r>
          </w:p>
        </w:tc>
        <w:tc>
          <w:tcPr>
            <w:tcW w:w="1420" w:type="dxa"/>
            <w:vAlign w:val="top"/>
          </w:tcPr>
          <w:p w14:paraId="43DF4EEC">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朱莉</w:t>
            </w:r>
          </w:p>
        </w:tc>
        <w:tc>
          <w:tcPr>
            <w:tcW w:w="1814" w:type="dxa"/>
            <w:vAlign w:val="top"/>
          </w:tcPr>
          <w:p w14:paraId="12D5C054">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泰州市人民医院</w:t>
            </w:r>
          </w:p>
        </w:tc>
        <w:tc>
          <w:tcPr>
            <w:tcW w:w="1420" w:type="dxa"/>
            <w:vAlign w:val="top"/>
          </w:tcPr>
          <w:p w14:paraId="17040947">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i w:val="0"/>
                <w:iCs w:val="0"/>
                <w:caps w:val="0"/>
                <w:spacing w:val="5"/>
                <w:kern w:val="0"/>
                <w:sz w:val="21"/>
                <w:szCs w:val="21"/>
                <w:vertAlign w:val="baseline"/>
                <w:lang w:val="en-US" w:eastAsia="zh-CN" w:bidi="ar"/>
              </w:rPr>
              <w:t>党委</w:t>
            </w:r>
            <w:r>
              <w:rPr>
                <w:rFonts w:hint="default" w:ascii="Times New Roman" w:hAnsi="Times New Roman" w:eastAsia="宋体" w:cs="Times New Roman"/>
                <w:i w:val="0"/>
                <w:iCs w:val="0"/>
                <w:caps w:val="0"/>
                <w:spacing w:val="5"/>
                <w:kern w:val="0"/>
                <w:sz w:val="21"/>
                <w:szCs w:val="21"/>
                <w:vertAlign w:val="baseline"/>
                <w:lang w:val="en-US" w:eastAsia="zh-CN" w:bidi="ar"/>
              </w:rPr>
              <w:t>书记</w:t>
            </w:r>
          </w:p>
        </w:tc>
        <w:tc>
          <w:tcPr>
            <w:tcW w:w="3061" w:type="dxa"/>
            <w:vAlign w:val="top"/>
          </w:tcPr>
          <w:p w14:paraId="32213E18">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eastAsia" w:cs="Times New Roman"/>
                <w:sz w:val="21"/>
                <w:szCs w:val="21"/>
                <w:vertAlign w:val="baseline"/>
                <w:lang w:val="en-US" w:eastAsia="zh-CN"/>
              </w:rPr>
              <w:t>第1章节</w:t>
            </w:r>
          </w:p>
        </w:tc>
      </w:tr>
      <w:tr w14:paraId="0E5E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34236E26">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4</w:t>
            </w:r>
          </w:p>
        </w:tc>
        <w:tc>
          <w:tcPr>
            <w:tcW w:w="1420" w:type="dxa"/>
            <w:vAlign w:val="top"/>
          </w:tcPr>
          <w:p w14:paraId="29B26B9C">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孔祥清</w:t>
            </w:r>
          </w:p>
        </w:tc>
        <w:tc>
          <w:tcPr>
            <w:tcW w:w="1814" w:type="dxa"/>
            <w:vAlign w:val="top"/>
          </w:tcPr>
          <w:p w14:paraId="63F0340C">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江苏省人民医院</w:t>
            </w:r>
          </w:p>
        </w:tc>
        <w:tc>
          <w:tcPr>
            <w:tcW w:w="1420" w:type="dxa"/>
            <w:vAlign w:val="top"/>
          </w:tcPr>
          <w:p w14:paraId="164B11A9">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主任医师</w:t>
            </w:r>
          </w:p>
        </w:tc>
        <w:tc>
          <w:tcPr>
            <w:tcW w:w="3061" w:type="dxa"/>
            <w:vAlign w:val="top"/>
          </w:tcPr>
          <w:p w14:paraId="318A6120">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eastAsia" w:cs="Times New Roman"/>
                <w:sz w:val="21"/>
                <w:szCs w:val="21"/>
                <w:vertAlign w:val="baseline"/>
                <w:lang w:val="en-US" w:eastAsia="zh-CN"/>
              </w:rPr>
              <w:t>第2、3章节</w:t>
            </w:r>
          </w:p>
        </w:tc>
      </w:tr>
      <w:tr w14:paraId="7B9D7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5A8EB6BE">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5</w:t>
            </w:r>
          </w:p>
        </w:tc>
        <w:tc>
          <w:tcPr>
            <w:tcW w:w="1420" w:type="dxa"/>
            <w:vAlign w:val="top"/>
          </w:tcPr>
          <w:p w14:paraId="34160239">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lang w:val="en-US" w:eastAsia="zh-CN"/>
              </w:rPr>
              <w:t>董广强</w:t>
            </w:r>
          </w:p>
        </w:tc>
        <w:tc>
          <w:tcPr>
            <w:tcW w:w="1814" w:type="dxa"/>
            <w:vAlign w:val="top"/>
          </w:tcPr>
          <w:p w14:paraId="1D0CF372">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lang w:val="en-US" w:eastAsia="zh-CN"/>
              </w:rPr>
              <w:t>泰州市人民医院</w:t>
            </w:r>
          </w:p>
        </w:tc>
        <w:tc>
          <w:tcPr>
            <w:tcW w:w="1420" w:type="dxa"/>
            <w:vAlign w:val="top"/>
          </w:tcPr>
          <w:p w14:paraId="365F9A02">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副研究员</w:t>
            </w:r>
          </w:p>
        </w:tc>
        <w:tc>
          <w:tcPr>
            <w:tcW w:w="3061" w:type="dxa"/>
            <w:vAlign w:val="top"/>
          </w:tcPr>
          <w:p w14:paraId="0C2041EE">
            <w:pPr>
              <w:keepNext w:val="0"/>
              <w:keepLines w:val="0"/>
              <w:widowControl/>
              <w:suppressLineNumbers w:val="0"/>
              <w:spacing w:before="0" w:beforeAutospacing="0" w:after="0" w:afterAutospacing="0"/>
              <w:ind w:left="0" w:leftChars="0" w:right="0" w:rightChars="0"/>
              <w:jc w:val="left"/>
              <w:textAlignment w:val="baseline"/>
              <w:rPr>
                <w:rFonts w:hint="eastAsia" w:cs="Times New Roman"/>
                <w:sz w:val="21"/>
                <w:szCs w:val="21"/>
                <w:vertAlign w:val="baseline"/>
                <w:lang w:val="en-US" w:eastAsia="zh-CN"/>
              </w:rPr>
            </w:pPr>
            <w:r>
              <w:rPr>
                <w:rFonts w:hint="eastAsia" w:cs="Times New Roman"/>
                <w:sz w:val="21"/>
                <w:szCs w:val="21"/>
                <w:vertAlign w:val="baseline"/>
                <w:lang w:val="en-US" w:eastAsia="zh-CN"/>
              </w:rPr>
              <w:t>第3、4章节</w:t>
            </w:r>
          </w:p>
        </w:tc>
      </w:tr>
      <w:tr w14:paraId="36874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3F9D09A5">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6</w:t>
            </w:r>
          </w:p>
        </w:tc>
        <w:tc>
          <w:tcPr>
            <w:tcW w:w="1420" w:type="dxa"/>
            <w:vAlign w:val="top"/>
          </w:tcPr>
          <w:p w14:paraId="2F4A1053">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郦明芳</w:t>
            </w:r>
          </w:p>
        </w:tc>
        <w:tc>
          <w:tcPr>
            <w:tcW w:w="1814" w:type="dxa"/>
            <w:vAlign w:val="top"/>
          </w:tcPr>
          <w:p w14:paraId="4D2472B5">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江苏省人民医院</w:t>
            </w:r>
          </w:p>
        </w:tc>
        <w:tc>
          <w:tcPr>
            <w:tcW w:w="1420" w:type="dxa"/>
            <w:vAlign w:val="top"/>
          </w:tcPr>
          <w:p w14:paraId="15C05C1B">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主任医师</w:t>
            </w:r>
          </w:p>
        </w:tc>
        <w:tc>
          <w:tcPr>
            <w:tcW w:w="3061" w:type="dxa"/>
            <w:vAlign w:val="top"/>
          </w:tcPr>
          <w:p w14:paraId="5F389555">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第5、6章节</w:t>
            </w:r>
          </w:p>
        </w:tc>
      </w:tr>
      <w:tr w14:paraId="2FC46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3EEC1374">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7</w:t>
            </w:r>
          </w:p>
        </w:tc>
        <w:tc>
          <w:tcPr>
            <w:tcW w:w="1420" w:type="dxa"/>
            <w:vAlign w:val="top"/>
          </w:tcPr>
          <w:p w14:paraId="1744D226">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cs="Times New Roman"/>
                <w:i w:val="0"/>
                <w:iCs w:val="0"/>
                <w:caps w:val="0"/>
                <w:spacing w:val="5"/>
                <w:kern w:val="0"/>
                <w:sz w:val="21"/>
                <w:szCs w:val="21"/>
                <w:vertAlign w:val="baseline"/>
                <w:lang w:val="en-US" w:eastAsia="zh-CN" w:bidi="ar"/>
              </w:rPr>
              <w:t>杨刚</w:t>
            </w:r>
          </w:p>
        </w:tc>
        <w:tc>
          <w:tcPr>
            <w:tcW w:w="1814" w:type="dxa"/>
            <w:vAlign w:val="top"/>
          </w:tcPr>
          <w:p w14:paraId="66F9AFEE">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江苏省人民医院</w:t>
            </w:r>
          </w:p>
        </w:tc>
        <w:tc>
          <w:tcPr>
            <w:tcW w:w="1420" w:type="dxa"/>
            <w:vAlign w:val="top"/>
          </w:tcPr>
          <w:p w14:paraId="595C8D6A">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主任医师</w:t>
            </w:r>
          </w:p>
        </w:tc>
        <w:tc>
          <w:tcPr>
            <w:tcW w:w="3061" w:type="dxa"/>
            <w:vAlign w:val="top"/>
          </w:tcPr>
          <w:p w14:paraId="0F7E5196">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第5、6章节</w:t>
            </w:r>
          </w:p>
        </w:tc>
      </w:tr>
      <w:tr w14:paraId="2CD5C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78DA38A0">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8</w:t>
            </w:r>
          </w:p>
        </w:tc>
        <w:tc>
          <w:tcPr>
            <w:tcW w:w="1420" w:type="dxa"/>
            <w:shd w:val="clear" w:color="auto" w:fill="auto"/>
            <w:vAlign w:val="top"/>
          </w:tcPr>
          <w:p w14:paraId="5BF9F202">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i w:val="0"/>
                <w:iCs w:val="0"/>
                <w:caps w:val="0"/>
                <w:spacing w:val="5"/>
                <w:kern w:val="0"/>
                <w:sz w:val="21"/>
                <w:szCs w:val="21"/>
                <w:vertAlign w:val="baseline"/>
                <w:lang w:val="en-US" w:eastAsia="zh-CN" w:bidi="ar"/>
              </w:rPr>
              <w:t>张传猛</w:t>
            </w:r>
          </w:p>
        </w:tc>
        <w:tc>
          <w:tcPr>
            <w:tcW w:w="1814" w:type="dxa"/>
            <w:shd w:val="clear" w:color="auto" w:fill="auto"/>
            <w:vAlign w:val="top"/>
          </w:tcPr>
          <w:p w14:paraId="2A722605">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eastAsia="宋体" w:cs="Times New Roman"/>
                <w:i w:val="0"/>
                <w:iCs w:val="0"/>
                <w:caps w:val="0"/>
                <w:spacing w:val="5"/>
                <w:kern w:val="0"/>
                <w:sz w:val="21"/>
                <w:szCs w:val="21"/>
                <w:vertAlign w:val="baseline"/>
                <w:lang w:val="en-US" w:eastAsia="zh-CN" w:bidi="ar"/>
              </w:rPr>
              <w:t>泰州市人民医院</w:t>
            </w:r>
          </w:p>
        </w:tc>
        <w:tc>
          <w:tcPr>
            <w:tcW w:w="1420" w:type="dxa"/>
            <w:shd w:val="clear" w:color="auto" w:fill="auto"/>
            <w:vAlign w:val="top"/>
          </w:tcPr>
          <w:p w14:paraId="49B73D12">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kern w:val="2"/>
                <w:sz w:val="21"/>
                <w:szCs w:val="21"/>
                <w:vertAlign w:val="baseline"/>
                <w:lang w:val="en-US" w:eastAsia="zh-CN" w:bidi="ar-SA"/>
              </w:rPr>
            </w:pPr>
            <w:r>
              <w:rPr>
                <w:rFonts w:hint="default" w:ascii="Times New Roman" w:hAnsi="Times New Roman" w:cs="Times New Roman"/>
                <w:i w:val="0"/>
                <w:iCs w:val="0"/>
                <w:caps w:val="0"/>
                <w:spacing w:val="5"/>
                <w:kern w:val="0"/>
                <w:sz w:val="21"/>
                <w:szCs w:val="21"/>
                <w:vertAlign w:val="baseline"/>
                <w:lang w:val="en-US" w:eastAsia="zh-CN" w:bidi="ar"/>
              </w:rPr>
              <w:t>高级</w:t>
            </w:r>
            <w:r>
              <w:rPr>
                <w:rFonts w:hint="default" w:ascii="Times New Roman" w:hAnsi="Times New Roman" w:eastAsia="宋体" w:cs="Times New Roman"/>
                <w:i w:val="0"/>
                <w:iCs w:val="0"/>
                <w:caps w:val="0"/>
                <w:spacing w:val="5"/>
                <w:kern w:val="0"/>
                <w:sz w:val="21"/>
                <w:szCs w:val="21"/>
                <w:vertAlign w:val="baseline"/>
                <w:lang w:val="en-US" w:eastAsia="zh-CN" w:bidi="ar"/>
              </w:rPr>
              <w:t>统计师</w:t>
            </w:r>
          </w:p>
        </w:tc>
        <w:tc>
          <w:tcPr>
            <w:tcW w:w="3061" w:type="dxa"/>
            <w:shd w:val="clear" w:color="auto" w:fill="auto"/>
            <w:vAlign w:val="top"/>
          </w:tcPr>
          <w:p w14:paraId="1AEDB937">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kern w:val="2"/>
                <w:sz w:val="21"/>
                <w:szCs w:val="21"/>
                <w:vertAlign w:val="baseline"/>
                <w:lang w:val="en-US" w:eastAsia="zh-CN" w:bidi="ar-SA"/>
              </w:rPr>
            </w:pPr>
            <w:r>
              <w:rPr>
                <w:rFonts w:hint="eastAsia" w:cs="Times New Roman"/>
                <w:kern w:val="2"/>
                <w:sz w:val="21"/>
                <w:szCs w:val="21"/>
                <w:vertAlign w:val="baseline"/>
                <w:lang w:val="en-US" w:eastAsia="zh-CN" w:bidi="ar-SA"/>
              </w:rPr>
              <w:t>第4、5章节</w:t>
            </w:r>
          </w:p>
        </w:tc>
      </w:tr>
      <w:tr w14:paraId="5F863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1089DCA1">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9</w:t>
            </w:r>
          </w:p>
        </w:tc>
        <w:tc>
          <w:tcPr>
            <w:tcW w:w="1420" w:type="dxa"/>
            <w:vAlign w:val="top"/>
          </w:tcPr>
          <w:p w14:paraId="2AEAC0C8">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李邦涛</w:t>
            </w:r>
          </w:p>
        </w:tc>
        <w:tc>
          <w:tcPr>
            <w:tcW w:w="1814" w:type="dxa"/>
            <w:vAlign w:val="top"/>
          </w:tcPr>
          <w:p w14:paraId="00C37554">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泰州市人民医院</w:t>
            </w:r>
          </w:p>
        </w:tc>
        <w:tc>
          <w:tcPr>
            <w:tcW w:w="1420" w:type="dxa"/>
            <w:vAlign w:val="top"/>
          </w:tcPr>
          <w:p w14:paraId="0A568214">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主任</w:t>
            </w:r>
          </w:p>
        </w:tc>
        <w:tc>
          <w:tcPr>
            <w:tcW w:w="3061" w:type="dxa"/>
            <w:vAlign w:val="top"/>
          </w:tcPr>
          <w:p w14:paraId="1766E0B6">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第2、4章节</w:t>
            </w:r>
          </w:p>
        </w:tc>
      </w:tr>
      <w:tr w14:paraId="28FE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5070AA0A">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10</w:t>
            </w:r>
          </w:p>
        </w:tc>
        <w:tc>
          <w:tcPr>
            <w:tcW w:w="1420" w:type="dxa"/>
            <w:vAlign w:val="top"/>
          </w:tcPr>
          <w:p w14:paraId="3197A28B">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丁祥伟</w:t>
            </w:r>
          </w:p>
        </w:tc>
        <w:tc>
          <w:tcPr>
            <w:tcW w:w="1814" w:type="dxa"/>
            <w:vAlign w:val="top"/>
          </w:tcPr>
          <w:p w14:paraId="24B1CA71">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泰州市人民医院</w:t>
            </w:r>
          </w:p>
        </w:tc>
        <w:tc>
          <w:tcPr>
            <w:tcW w:w="1420" w:type="dxa"/>
            <w:vAlign w:val="top"/>
          </w:tcPr>
          <w:p w14:paraId="3B34C61C">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副主任</w:t>
            </w:r>
          </w:p>
        </w:tc>
        <w:tc>
          <w:tcPr>
            <w:tcW w:w="3061" w:type="dxa"/>
            <w:vAlign w:val="top"/>
          </w:tcPr>
          <w:p w14:paraId="5EFFA5A9">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第4、5章节</w:t>
            </w:r>
          </w:p>
        </w:tc>
      </w:tr>
      <w:tr w14:paraId="09334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7BFBAC16">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11</w:t>
            </w:r>
          </w:p>
        </w:tc>
        <w:tc>
          <w:tcPr>
            <w:tcW w:w="1420" w:type="dxa"/>
            <w:vAlign w:val="top"/>
          </w:tcPr>
          <w:p w14:paraId="7069235A">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王国余</w:t>
            </w:r>
          </w:p>
        </w:tc>
        <w:tc>
          <w:tcPr>
            <w:tcW w:w="1814" w:type="dxa"/>
            <w:shd w:val="clear" w:color="auto" w:fill="auto"/>
            <w:vAlign w:val="top"/>
          </w:tcPr>
          <w:p w14:paraId="6FAE35F4">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泰州市人民医院</w:t>
            </w:r>
          </w:p>
        </w:tc>
        <w:tc>
          <w:tcPr>
            <w:tcW w:w="1420" w:type="dxa"/>
            <w:shd w:val="clear" w:color="auto" w:fill="auto"/>
            <w:vAlign w:val="top"/>
          </w:tcPr>
          <w:p w14:paraId="292B894C">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副主任医师</w:t>
            </w:r>
          </w:p>
        </w:tc>
        <w:tc>
          <w:tcPr>
            <w:tcW w:w="3061" w:type="dxa"/>
            <w:shd w:val="clear" w:color="auto" w:fill="auto"/>
            <w:vAlign w:val="top"/>
          </w:tcPr>
          <w:p w14:paraId="06E8417C">
            <w:pPr>
              <w:keepNext w:val="0"/>
              <w:keepLines w:val="0"/>
              <w:widowControl/>
              <w:suppressLineNumbers w:val="0"/>
              <w:spacing w:before="0" w:beforeAutospacing="0" w:after="0" w:afterAutospacing="0"/>
              <w:ind w:left="0" w:leftChars="0" w:right="0" w:rightChars="0"/>
              <w:jc w:val="left"/>
              <w:textAlignment w:val="baseline"/>
              <w:rPr>
                <w:rFonts w:hint="default" w:cs="Times New Roman"/>
                <w:sz w:val="21"/>
                <w:szCs w:val="21"/>
                <w:vertAlign w:val="baseline"/>
                <w:lang w:val="en-US" w:eastAsia="zh-CN"/>
              </w:rPr>
            </w:pPr>
            <w:r>
              <w:rPr>
                <w:rFonts w:hint="eastAsia" w:cs="Times New Roman"/>
                <w:sz w:val="21"/>
                <w:szCs w:val="21"/>
                <w:vertAlign w:val="baseline"/>
                <w:lang w:val="en-US" w:eastAsia="zh-CN"/>
              </w:rPr>
              <w:t>第4、5章节</w:t>
            </w:r>
          </w:p>
        </w:tc>
      </w:tr>
      <w:tr w14:paraId="591ED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049ECBF4">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12</w:t>
            </w:r>
          </w:p>
        </w:tc>
        <w:tc>
          <w:tcPr>
            <w:tcW w:w="1420" w:type="dxa"/>
            <w:vAlign w:val="top"/>
          </w:tcPr>
          <w:p w14:paraId="19442D0B">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cs="Times New Roman"/>
                <w:sz w:val="21"/>
                <w:szCs w:val="21"/>
                <w:vertAlign w:val="baseline"/>
                <w:lang w:val="en-US" w:eastAsia="zh-CN"/>
              </w:rPr>
            </w:pPr>
            <w:r>
              <w:rPr>
                <w:rFonts w:hint="eastAsia"/>
                <w:lang w:val="en-US" w:eastAsia="zh-CN"/>
              </w:rPr>
              <w:t>王文苑</w:t>
            </w:r>
          </w:p>
        </w:tc>
        <w:tc>
          <w:tcPr>
            <w:tcW w:w="1814" w:type="dxa"/>
            <w:shd w:val="clear" w:color="auto" w:fill="auto"/>
            <w:vAlign w:val="top"/>
          </w:tcPr>
          <w:p w14:paraId="411CF7C0">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泰州市人民医院</w:t>
            </w:r>
          </w:p>
        </w:tc>
        <w:tc>
          <w:tcPr>
            <w:tcW w:w="1420" w:type="dxa"/>
            <w:shd w:val="clear" w:color="auto" w:fill="auto"/>
            <w:vAlign w:val="top"/>
          </w:tcPr>
          <w:p w14:paraId="1C3EA424">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主任医师</w:t>
            </w:r>
          </w:p>
        </w:tc>
        <w:tc>
          <w:tcPr>
            <w:tcW w:w="3061" w:type="dxa"/>
            <w:shd w:val="clear" w:color="auto" w:fill="auto"/>
            <w:vAlign w:val="top"/>
          </w:tcPr>
          <w:p w14:paraId="6AB4D122">
            <w:pPr>
              <w:keepNext w:val="0"/>
              <w:keepLines w:val="0"/>
              <w:widowControl/>
              <w:suppressLineNumbers w:val="0"/>
              <w:spacing w:before="0" w:beforeAutospacing="0" w:after="0" w:afterAutospacing="0"/>
              <w:ind w:left="0" w:leftChars="0" w:right="0" w:rightChars="0"/>
              <w:jc w:val="left"/>
              <w:textAlignment w:val="baseline"/>
              <w:rPr>
                <w:rFonts w:hint="eastAsia" w:cs="Times New Roman"/>
                <w:sz w:val="21"/>
                <w:szCs w:val="21"/>
                <w:vertAlign w:val="baseline"/>
                <w:lang w:val="en-US" w:eastAsia="zh-CN"/>
              </w:rPr>
            </w:pPr>
            <w:r>
              <w:rPr>
                <w:rFonts w:hint="eastAsia" w:cs="Times New Roman"/>
                <w:sz w:val="21"/>
                <w:szCs w:val="21"/>
                <w:vertAlign w:val="baseline"/>
                <w:lang w:val="en-US" w:eastAsia="zh-CN"/>
              </w:rPr>
              <w:t>第5、6章节</w:t>
            </w:r>
          </w:p>
        </w:tc>
      </w:tr>
      <w:tr w14:paraId="6063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1E58D2EF">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13</w:t>
            </w:r>
          </w:p>
        </w:tc>
        <w:tc>
          <w:tcPr>
            <w:tcW w:w="1420" w:type="dxa"/>
            <w:vAlign w:val="top"/>
          </w:tcPr>
          <w:p w14:paraId="26DE7EC3">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cs="Times New Roman"/>
                <w:sz w:val="21"/>
                <w:szCs w:val="21"/>
                <w:vertAlign w:val="baseline"/>
                <w:lang w:val="en-US" w:eastAsia="zh-CN"/>
              </w:rPr>
            </w:pPr>
            <w:r>
              <w:rPr>
                <w:rFonts w:hint="eastAsia"/>
                <w:lang w:val="en-US" w:eastAsia="zh-CN"/>
              </w:rPr>
              <w:t>徐东升</w:t>
            </w:r>
          </w:p>
        </w:tc>
        <w:tc>
          <w:tcPr>
            <w:tcW w:w="1814" w:type="dxa"/>
            <w:shd w:val="clear" w:color="auto" w:fill="auto"/>
            <w:vAlign w:val="top"/>
          </w:tcPr>
          <w:p w14:paraId="553C4336">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lang w:val="en-US" w:eastAsia="zh-CN"/>
              </w:rPr>
              <w:t>泰州市人民医院</w:t>
            </w:r>
          </w:p>
        </w:tc>
        <w:tc>
          <w:tcPr>
            <w:tcW w:w="1420" w:type="dxa"/>
            <w:shd w:val="clear" w:color="auto" w:fill="auto"/>
            <w:vAlign w:val="top"/>
          </w:tcPr>
          <w:p w14:paraId="04B3A58A">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主任医师</w:t>
            </w:r>
          </w:p>
        </w:tc>
        <w:tc>
          <w:tcPr>
            <w:tcW w:w="3061" w:type="dxa"/>
            <w:shd w:val="clear" w:color="auto" w:fill="auto"/>
            <w:vAlign w:val="top"/>
          </w:tcPr>
          <w:p w14:paraId="1DC2C3AB">
            <w:pPr>
              <w:keepNext w:val="0"/>
              <w:keepLines w:val="0"/>
              <w:widowControl/>
              <w:suppressLineNumbers w:val="0"/>
              <w:spacing w:before="0" w:beforeAutospacing="0" w:after="0" w:afterAutospacing="0"/>
              <w:ind w:left="0" w:leftChars="0" w:right="0" w:rightChars="0"/>
              <w:jc w:val="left"/>
              <w:textAlignment w:val="baseline"/>
              <w:rPr>
                <w:rFonts w:hint="eastAsia" w:cs="Times New Roman"/>
                <w:sz w:val="21"/>
                <w:szCs w:val="21"/>
                <w:vertAlign w:val="baseline"/>
                <w:lang w:val="en-US" w:eastAsia="zh-CN"/>
              </w:rPr>
            </w:pPr>
            <w:r>
              <w:rPr>
                <w:rFonts w:hint="eastAsia" w:cs="Times New Roman"/>
                <w:sz w:val="21"/>
                <w:szCs w:val="21"/>
                <w:vertAlign w:val="baseline"/>
                <w:lang w:val="en-US" w:eastAsia="zh-CN"/>
              </w:rPr>
              <w:t>第5、6章节</w:t>
            </w:r>
          </w:p>
        </w:tc>
      </w:tr>
      <w:tr w14:paraId="256B3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7936DF02">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cs="Times New Roman"/>
                <w:sz w:val="21"/>
                <w:szCs w:val="21"/>
                <w:vertAlign w:val="baseline"/>
                <w:lang w:val="en-US" w:eastAsia="zh-CN"/>
              </w:rPr>
            </w:pPr>
            <w:r>
              <w:rPr>
                <w:rFonts w:hint="eastAsia" w:cs="Times New Roman"/>
                <w:sz w:val="21"/>
                <w:szCs w:val="21"/>
                <w:vertAlign w:val="baseline"/>
                <w:lang w:val="en-US" w:eastAsia="zh-CN"/>
              </w:rPr>
              <w:t>14</w:t>
            </w:r>
          </w:p>
        </w:tc>
        <w:tc>
          <w:tcPr>
            <w:tcW w:w="1420" w:type="dxa"/>
            <w:vAlign w:val="top"/>
          </w:tcPr>
          <w:p w14:paraId="614C8CE3">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cs="Times New Roman"/>
                <w:sz w:val="21"/>
                <w:szCs w:val="21"/>
                <w:vertAlign w:val="baseline"/>
                <w:lang w:val="en-US" w:eastAsia="zh-CN"/>
              </w:rPr>
            </w:pPr>
            <w:r>
              <w:rPr>
                <w:rFonts w:hint="eastAsia"/>
                <w:lang w:val="en-US" w:eastAsia="zh-CN"/>
              </w:rPr>
              <w:t>胡宏根</w:t>
            </w:r>
          </w:p>
        </w:tc>
        <w:tc>
          <w:tcPr>
            <w:tcW w:w="1814" w:type="dxa"/>
            <w:shd w:val="clear" w:color="auto" w:fill="auto"/>
            <w:vAlign w:val="top"/>
          </w:tcPr>
          <w:p w14:paraId="39D6ECCC">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lang w:val="en-US" w:eastAsia="zh-CN"/>
              </w:rPr>
              <w:t>泰州市人民医院</w:t>
            </w:r>
          </w:p>
        </w:tc>
        <w:tc>
          <w:tcPr>
            <w:tcW w:w="1420" w:type="dxa"/>
            <w:shd w:val="clear" w:color="auto" w:fill="auto"/>
            <w:vAlign w:val="top"/>
          </w:tcPr>
          <w:p w14:paraId="633971C9">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i w:val="0"/>
                <w:iCs w:val="0"/>
                <w:caps w:val="0"/>
                <w:spacing w:val="5"/>
                <w:kern w:val="0"/>
                <w:sz w:val="21"/>
                <w:szCs w:val="21"/>
                <w:vertAlign w:val="baseline"/>
                <w:lang w:val="en-US" w:eastAsia="zh-CN" w:bidi="ar"/>
              </w:rPr>
              <w:t>主任医师</w:t>
            </w:r>
          </w:p>
        </w:tc>
        <w:tc>
          <w:tcPr>
            <w:tcW w:w="3061" w:type="dxa"/>
            <w:shd w:val="clear" w:color="auto" w:fill="auto"/>
            <w:vAlign w:val="top"/>
          </w:tcPr>
          <w:p w14:paraId="3CCC1459">
            <w:pPr>
              <w:keepNext w:val="0"/>
              <w:keepLines w:val="0"/>
              <w:widowControl/>
              <w:suppressLineNumbers w:val="0"/>
              <w:spacing w:before="0" w:beforeAutospacing="0" w:after="0" w:afterAutospacing="0"/>
              <w:ind w:left="0" w:leftChars="0" w:right="0" w:rightChars="0"/>
              <w:jc w:val="left"/>
              <w:textAlignment w:val="baseline"/>
              <w:rPr>
                <w:rFonts w:hint="eastAsia" w:cs="Times New Roman"/>
                <w:sz w:val="21"/>
                <w:szCs w:val="21"/>
                <w:vertAlign w:val="baseline"/>
                <w:lang w:val="en-US" w:eastAsia="zh-CN"/>
              </w:rPr>
            </w:pPr>
            <w:r>
              <w:rPr>
                <w:rFonts w:hint="eastAsia" w:cs="Times New Roman"/>
                <w:sz w:val="21"/>
                <w:szCs w:val="21"/>
                <w:vertAlign w:val="baseline"/>
                <w:lang w:val="en-US" w:eastAsia="zh-CN"/>
              </w:rPr>
              <w:t>第5、6章节</w:t>
            </w:r>
          </w:p>
        </w:tc>
      </w:tr>
      <w:tr w14:paraId="44D1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7" w:type="dxa"/>
            <w:vAlign w:val="top"/>
          </w:tcPr>
          <w:p w14:paraId="30C624C2">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r>
              <w:rPr>
                <w:rFonts w:hint="eastAsia" w:cs="Times New Roman"/>
                <w:sz w:val="21"/>
                <w:szCs w:val="21"/>
                <w:vertAlign w:val="baseline"/>
                <w:lang w:val="en-US" w:eastAsia="zh-CN"/>
              </w:rPr>
              <w:t>5</w:t>
            </w:r>
          </w:p>
        </w:tc>
        <w:tc>
          <w:tcPr>
            <w:tcW w:w="1420" w:type="dxa"/>
            <w:vAlign w:val="top"/>
          </w:tcPr>
          <w:p w14:paraId="5474C188">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徐红</w:t>
            </w:r>
          </w:p>
        </w:tc>
        <w:tc>
          <w:tcPr>
            <w:tcW w:w="1814" w:type="dxa"/>
            <w:shd w:val="clear" w:color="auto" w:fill="auto"/>
            <w:vAlign w:val="top"/>
          </w:tcPr>
          <w:p w14:paraId="047C1F37">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泰州市人民医院</w:t>
            </w:r>
          </w:p>
        </w:tc>
        <w:tc>
          <w:tcPr>
            <w:tcW w:w="1420" w:type="dxa"/>
            <w:shd w:val="clear" w:color="auto" w:fill="auto"/>
            <w:vAlign w:val="top"/>
          </w:tcPr>
          <w:p w14:paraId="67A65231">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default" w:ascii="Times New Roman" w:hAnsi="Times New Roman" w:eastAsia="宋体" w:cs="Times New Roman"/>
                <w:i w:val="0"/>
                <w:iCs w:val="0"/>
                <w:caps w:val="0"/>
                <w:spacing w:val="5"/>
                <w:kern w:val="0"/>
                <w:sz w:val="21"/>
                <w:szCs w:val="21"/>
                <w:vertAlign w:val="baseline"/>
                <w:lang w:val="en-US" w:eastAsia="zh-CN" w:bidi="ar"/>
              </w:rPr>
              <w:t>副主任</w:t>
            </w:r>
            <w:r>
              <w:rPr>
                <w:rFonts w:hint="default" w:ascii="Times New Roman" w:hAnsi="Times New Roman" w:cs="Times New Roman"/>
                <w:i w:val="0"/>
                <w:iCs w:val="0"/>
                <w:caps w:val="0"/>
                <w:spacing w:val="5"/>
                <w:kern w:val="0"/>
                <w:sz w:val="21"/>
                <w:szCs w:val="21"/>
                <w:vertAlign w:val="baseline"/>
                <w:lang w:val="en-US" w:eastAsia="zh-CN" w:bidi="ar"/>
              </w:rPr>
              <w:t>护师</w:t>
            </w:r>
          </w:p>
        </w:tc>
        <w:tc>
          <w:tcPr>
            <w:tcW w:w="3061" w:type="dxa"/>
            <w:shd w:val="clear" w:color="auto" w:fill="auto"/>
            <w:vAlign w:val="top"/>
          </w:tcPr>
          <w:p w14:paraId="2A68E7C9">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i w:val="0"/>
                <w:iCs w:val="0"/>
                <w:caps w:val="0"/>
                <w:spacing w:val="5"/>
                <w:kern w:val="0"/>
                <w:sz w:val="21"/>
                <w:szCs w:val="21"/>
                <w:vertAlign w:val="baseline"/>
                <w:lang w:val="en-US" w:eastAsia="zh-CN" w:bidi="ar"/>
              </w:rPr>
            </w:pPr>
            <w:r>
              <w:rPr>
                <w:rFonts w:hint="eastAsia" w:cs="Times New Roman"/>
                <w:sz w:val="21"/>
                <w:szCs w:val="21"/>
                <w:vertAlign w:val="baseline"/>
                <w:lang w:val="en-US" w:eastAsia="zh-CN"/>
              </w:rPr>
              <w:t>第7章节</w:t>
            </w:r>
          </w:p>
        </w:tc>
      </w:tr>
      <w:tr w14:paraId="753C1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5F968097">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1</w:t>
            </w:r>
            <w:r>
              <w:rPr>
                <w:rFonts w:hint="eastAsia" w:cs="Times New Roman"/>
                <w:i w:val="0"/>
                <w:iCs w:val="0"/>
                <w:caps w:val="0"/>
                <w:spacing w:val="5"/>
                <w:kern w:val="0"/>
                <w:sz w:val="21"/>
                <w:szCs w:val="21"/>
                <w:vertAlign w:val="baseline"/>
                <w:lang w:val="en-US" w:eastAsia="zh-CN" w:bidi="ar"/>
              </w:rPr>
              <w:t>6</w:t>
            </w:r>
          </w:p>
        </w:tc>
        <w:tc>
          <w:tcPr>
            <w:tcW w:w="1420" w:type="dxa"/>
            <w:vAlign w:val="top"/>
          </w:tcPr>
          <w:p w14:paraId="6C99C368">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高鹏</w:t>
            </w:r>
          </w:p>
        </w:tc>
        <w:tc>
          <w:tcPr>
            <w:tcW w:w="1814" w:type="dxa"/>
            <w:vAlign w:val="top"/>
          </w:tcPr>
          <w:p w14:paraId="6E447E1C">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泰州市人民医院</w:t>
            </w:r>
          </w:p>
        </w:tc>
        <w:tc>
          <w:tcPr>
            <w:tcW w:w="1420" w:type="dxa"/>
            <w:vAlign w:val="top"/>
          </w:tcPr>
          <w:p w14:paraId="68191E92">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护师</w:t>
            </w:r>
          </w:p>
        </w:tc>
        <w:tc>
          <w:tcPr>
            <w:tcW w:w="3061" w:type="dxa"/>
            <w:vAlign w:val="top"/>
          </w:tcPr>
          <w:p w14:paraId="054CAEFE">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eastAsia" w:cs="Times New Roman"/>
                <w:sz w:val="21"/>
                <w:szCs w:val="21"/>
                <w:vertAlign w:val="baseline"/>
                <w:lang w:val="en-US" w:eastAsia="zh-CN"/>
              </w:rPr>
              <w:t>第7章节</w:t>
            </w:r>
          </w:p>
        </w:tc>
      </w:tr>
      <w:tr w14:paraId="060AD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 w:type="dxa"/>
            <w:vAlign w:val="top"/>
          </w:tcPr>
          <w:p w14:paraId="210B71A7">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1</w:t>
            </w:r>
            <w:r>
              <w:rPr>
                <w:rFonts w:hint="eastAsia" w:cs="Times New Roman"/>
                <w:i w:val="0"/>
                <w:iCs w:val="0"/>
                <w:caps w:val="0"/>
                <w:spacing w:val="5"/>
                <w:kern w:val="0"/>
                <w:sz w:val="21"/>
                <w:szCs w:val="21"/>
                <w:vertAlign w:val="baseline"/>
                <w:lang w:val="en-US" w:eastAsia="zh-CN" w:bidi="ar"/>
              </w:rPr>
              <w:t>7</w:t>
            </w:r>
          </w:p>
        </w:tc>
        <w:tc>
          <w:tcPr>
            <w:tcW w:w="1420" w:type="dxa"/>
            <w:vAlign w:val="top"/>
          </w:tcPr>
          <w:p w14:paraId="08AF4B11">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吴玉呈</w:t>
            </w:r>
          </w:p>
        </w:tc>
        <w:tc>
          <w:tcPr>
            <w:tcW w:w="1814" w:type="dxa"/>
            <w:vAlign w:val="top"/>
          </w:tcPr>
          <w:p w14:paraId="6AA40F9A">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泰州市人民医院</w:t>
            </w:r>
          </w:p>
        </w:tc>
        <w:tc>
          <w:tcPr>
            <w:tcW w:w="1420" w:type="dxa"/>
            <w:vAlign w:val="top"/>
          </w:tcPr>
          <w:p w14:paraId="77B62530">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i w:val="0"/>
                <w:iCs w:val="0"/>
                <w:caps w:val="0"/>
                <w:spacing w:val="5"/>
                <w:kern w:val="0"/>
                <w:sz w:val="21"/>
                <w:szCs w:val="21"/>
                <w:vertAlign w:val="baseline"/>
                <w:lang w:val="en-US" w:eastAsia="zh-CN" w:bidi="ar"/>
              </w:rPr>
              <w:t>副主任医师</w:t>
            </w:r>
          </w:p>
        </w:tc>
        <w:tc>
          <w:tcPr>
            <w:tcW w:w="3061" w:type="dxa"/>
            <w:vAlign w:val="top"/>
          </w:tcPr>
          <w:p w14:paraId="404C92D5">
            <w:pPr>
              <w:keepNext w:val="0"/>
              <w:keepLines w:val="0"/>
              <w:widowControl/>
              <w:suppressLineNumbers w:val="0"/>
              <w:spacing w:before="0" w:beforeAutospacing="0" w:after="0" w:afterAutospacing="0"/>
              <w:ind w:left="0" w:leftChars="0" w:right="0" w:rightChars="0"/>
              <w:jc w:val="left"/>
              <w:textAlignment w:val="baseline"/>
              <w:rPr>
                <w:rFonts w:hint="default" w:ascii="Times New Roman" w:hAnsi="Times New Roman" w:eastAsia="宋体" w:cs="Times New Roman"/>
                <w:sz w:val="21"/>
                <w:szCs w:val="21"/>
                <w:vertAlign w:val="baseline"/>
                <w:lang w:val="en-US" w:eastAsia="zh-CN"/>
              </w:rPr>
            </w:pPr>
            <w:r>
              <w:rPr>
                <w:rFonts w:hint="eastAsia" w:cs="Times New Roman"/>
                <w:sz w:val="21"/>
                <w:szCs w:val="21"/>
                <w:vertAlign w:val="baseline"/>
                <w:lang w:val="en-US" w:eastAsia="zh-CN"/>
              </w:rPr>
              <w:t>第6、7章节</w:t>
            </w:r>
          </w:p>
        </w:tc>
      </w:tr>
    </w:tbl>
    <w:p w14:paraId="0594B9ED">
      <w:pPr>
        <w:pStyle w:val="10"/>
        <w:numPr>
          <w:ilvl w:val="0"/>
          <w:numId w:val="0"/>
        </w:numPr>
        <w:spacing w:line="560" w:lineRule="exact"/>
        <w:jc w:val="both"/>
        <w:rPr>
          <w:rFonts w:hint="default" w:ascii="Times New Roman" w:hAnsi="Times New Roman" w:eastAsia="黑体" w:cs="Times New Roman"/>
          <w:sz w:val="28"/>
          <w:szCs w:val="28"/>
          <w:lang w:val="en-US" w:eastAsia="zh-CN"/>
        </w:rPr>
      </w:pPr>
    </w:p>
    <w:p w14:paraId="0DB9EC11">
      <w:pPr>
        <w:spacing w:line="560" w:lineRule="exact"/>
        <w:jc w:val="both"/>
        <w:rPr>
          <w:rFonts w:hint="default" w:ascii="Times New Roman" w:hAnsi="Times New Roman" w:eastAsia="仿宋" w:cs="Times New Roman"/>
          <w:sz w:val="32"/>
          <w:szCs w:val="32"/>
        </w:rPr>
      </w:pPr>
    </w:p>
    <w:p w14:paraId="0BA4C5B8">
      <w:pPr>
        <w:spacing w:line="560" w:lineRule="exact"/>
        <w:jc w:val="both"/>
        <w:rPr>
          <w:rFonts w:hint="default" w:ascii="Times New Roman" w:hAnsi="Times New Roman" w:eastAsia="仿宋" w:cs="Times New Roman"/>
          <w:sz w:val="32"/>
          <w:szCs w:val="32"/>
        </w:rPr>
      </w:pPr>
      <w:bookmarkStart w:id="2" w:name="_GoBack"/>
      <w:bookmarkEnd w:id="2"/>
    </w:p>
    <w:p w14:paraId="0CF3A120">
      <w:pPr>
        <w:spacing w:line="560" w:lineRule="exact"/>
        <w:jc w:val="right"/>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《基于智慧化村</w:t>
      </w:r>
      <w:r>
        <w:rPr>
          <w:rFonts w:hint="default" w:ascii="Times New Roman" w:hAnsi="Times New Roman" w:eastAsia="仿宋" w:cs="Times New Roman"/>
          <w:sz w:val="32"/>
          <w:szCs w:val="32"/>
          <w:lang w:eastAsia="zh-CN"/>
        </w:rPr>
        <w:t>卫生室</w:t>
      </w:r>
      <w:r>
        <w:rPr>
          <w:rFonts w:hint="default" w:ascii="Times New Roman" w:hAnsi="Times New Roman" w:eastAsia="仿宋" w:cs="Times New Roman"/>
          <w:sz w:val="32"/>
          <w:szCs w:val="32"/>
        </w:rPr>
        <w:t>的老年人心房颤动管理</w:t>
      </w:r>
      <w:r>
        <w:rPr>
          <w:rFonts w:hint="default" w:ascii="Times New Roman" w:hAnsi="Times New Roman" w:eastAsia="仿宋" w:cs="Times New Roman"/>
          <w:sz w:val="32"/>
          <w:szCs w:val="32"/>
          <w:lang w:val="en-US" w:eastAsia="zh-CN"/>
        </w:rPr>
        <w:t>与</w:t>
      </w:r>
      <w:r>
        <w:rPr>
          <w:rFonts w:hint="default" w:ascii="Times New Roman" w:hAnsi="Times New Roman" w:eastAsia="仿宋" w:cs="Times New Roman"/>
          <w:sz w:val="32"/>
          <w:szCs w:val="32"/>
        </w:rPr>
        <w:t>服务规范》标准编制组</w:t>
      </w:r>
    </w:p>
    <w:p w14:paraId="4A12B330">
      <w:pPr>
        <w:spacing w:line="560" w:lineRule="exact"/>
        <w:ind w:firstLine="640" w:firstLineChars="200"/>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202</w:t>
      </w:r>
      <w:r>
        <w:rPr>
          <w:rFonts w:hint="default" w:ascii="Times New Roman" w:hAnsi="Times New Roman" w:eastAsia="仿宋" w:cs="Times New Roman"/>
          <w:sz w:val="32"/>
          <w:szCs w:val="32"/>
          <w:lang w:val="en-US" w:eastAsia="zh-CN"/>
        </w:rPr>
        <w:t>5</w:t>
      </w:r>
      <w:r>
        <w:rPr>
          <w:rFonts w:hint="default" w:ascii="Times New Roman" w:hAnsi="Times New Roman" w:eastAsia="仿宋" w:cs="Times New Roman"/>
          <w:sz w:val="32"/>
          <w:szCs w:val="32"/>
        </w:rPr>
        <w:t>年</w:t>
      </w:r>
      <w:r>
        <w:rPr>
          <w:rFonts w:hint="eastAsia" w:eastAsia="仿宋" w:cs="Times New Roman"/>
          <w:sz w:val="32"/>
          <w:szCs w:val="32"/>
          <w:lang w:val="en-US" w:eastAsia="zh-CN"/>
        </w:rPr>
        <w:t>12</w:t>
      </w:r>
      <w:r>
        <w:rPr>
          <w:rFonts w:hint="default" w:ascii="Times New Roman" w:hAnsi="Times New Roman" w:eastAsia="仿宋" w:cs="Times New Roman"/>
          <w:sz w:val="32"/>
          <w:szCs w:val="32"/>
        </w:rPr>
        <w:t>月</w:t>
      </w:r>
      <w:r>
        <w:rPr>
          <w:rFonts w:hint="eastAsia" w:eastAsia="仿宋" w:cs="Times New Roman"/>
          <w:sz w:val="32"/>
          <w:szCs w:val="32"/>
          <w:lang w:val="en-US" w:eastAsia="zh-CN"/>
        </w:rPr>
        <w:t>19</w:t>
      </w:r>
      <w:r>
        <w:rPr>
          <w:rFonts w:hint="default" w:ascii="Times New Roman" w:hAnsi="Times New Roman" w:eastAsia="仿宋" w:cs="Times New Roman"/>
          <w:sz w:val="32"/>
          <w:szCs w:val="32"/>
        </w:rPr>
        <w:t>日</w:t>
      </w:r>
    </w:p>
    <w:p w14:paraId="04792E9B">
      <w:pPr>
        <w:rPr>
          <w:rFonts w:hint="default" w:ascii="Times New Roman" w:hAnsi="Times New Roman" w:cs="Times New Roman"/>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FZXiaoBiaoSong-B05">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4B772">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33BFEF5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99FB0">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0FF66360">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7574AD"/>
    <w:multiLevelType w:val="singleLevel"/>
    <w:tmpl w:val="827574AD"/>
    <w:lvl w:ilvl="0" w:tentative="0">
      <w:start w:val="6"/>
      <w:numFmt w:val="chineseCounting"/>
      <w:suff w:val="nothing"/>
      <w:lvlText w:val="%1、"/>
      <w:lvlJc w:val="left"/>
      <w:rPr>
        <w:rFonts w:hint="eastAsia"/>
      </w:rPr>
    </w:lvl>
  </w:abstractNum>
  <w:abstractNum w:abstractNumId="1">
    <w:nsid w:val="D6238692"/>
    <w:multiLevelType w:val="singleLevel"/>
    <w:tmpl w:val="D6238692"/>
    <w:lvl w:ilvl="0" w:tentative="0">
      <w:start w:val="4"/>
      <w:numFmt w:val="chineseCounting"/>
      <w:suff w:val="nothing"/>
      <w:lvlText w:val="%1、"/>
      <w:lvlJc w:val="left"/>
      <w:rPr>
        <w:rFonts w:hint="eastAsia"/>
      </w:rPr>
    </w:lvl>
  </w:abstractNum>
  <w:abstractNum w:abstractNumId="2">
    <w:nsid w:val="D9E55078"/>
    <w:multiLevelType w:val="singleLevel"/>
    <w:tmpl w:val="D9E55078"/>
    <w:lvl w:ilvl="0" w:tentative="0">
      <w:start w:val="3"/>
      <w:numFmt w:val="chineseCounting"/>
      <w:suff w:val="nothing"/>
      <w:lvlText w:val="（%1）"/>
      <w:lvlJc w:val="left"/>
      <w:rPr>
        <w:rFonts w:hint="eastAsia"/>
      </w:rPr>
    </w:lvl>
  </w:abstractNum>
  <w:abstractNum w:abstractNumId="3">
    <w:nsid w:val="01F53930"/>
    <w:multiLevelType w:val="singleLevel"/>
    <w:tmpl w:val="01F53930"/>
    <w:lvl w:ilvl="0" w:tentative="0">
      <w:start w:val="1"/>
      <w:numFmt w:val="chineseCounting"/>
      <w:suff w:val="nothing"/>
      <w:lvlText w:val="%1、"/>
      <w:lvlJc w:val="left"/>
      <w:rPr>
        <w:rFonts w:hint="eastAsia"/>
      </w:rPr>
    </w:lvl>
  </w:abstractNum>
  <w:abstractNum w:abstractNumId="4">
    <w:nsid w:val="686CFEF4"/>
    <w:multiLevelType w:val="singleLevel"/>
    <w:tmpl w:val="686CFEF4"/>
    <w:lvl w:ilvl="0" w:tentative="0">
      <w:start w:val="6"/>
      <w:numFmt w:val="chineseCounting"/>
      <w:suff w:val="nothing"/>
      <w:lvlText w:val="（%1）"/>
      <w:lvlJc w:val="left"/>
      <w:rPr>
        <w:rFonts w:hint="eastAsia"/>
        <w:b/>
        <w:bCs/>
        <w:sz w:val="24"/>
        <w:szCs w:val="24"/>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F814D6"/>
    <w:rsid w:val="000347D0"/>
    <w:rsid w:val="000C177D"/>
    <w:rsid w:val="000C55DE"/>
    <w:rsid w:val="000E0716"/>
    <w:rsid w:val="00210257"/>
    <w:rsid w:val="00222B45"/>
    <w:rsid w:val="002822C7"/>
    <w:rsid w:val="00361F5A"/>
    <w:rsid w:val="003B7C61"/>
    <w:rsid w:val="003F62B7"/>
    <w:rsid w:val="0087040E"/>
    <w:rsid w:val="008758BD"/>
    <w:rsid w:val="009B726B"/>
    <w:rsid w:val="00A72BB0"/>
    <w:rsid w:val="00C20399"/>
    <w:rsid w:val="00D36CE3"/>
    <w:rsid w:val="00DE5864"/>
    <w:rsid w:val="00E44A8A"/>
    <w:rsid w:val="00EF060A"/>
    <w:rsid w:val="00F814D6"/>
    <w:rsid w:val="00F915D9"/>
    <w:rsid w:val="02300221"/>
    <w:rsid w:val="0F117C40"/>
    <w:rsid w:val="147C5547"/>
    <w:rsid w:val="15EE5FD1"/>
    <w:rsid w:val="188E22E1"/>
    <w:rsid w:val="18C94AD3"/>
    <w:rsid w:val="18D53262"/>
    <w:rsid w:val="18E25D78"/>
    <w:rsid w:val="1B612829"/>
    <w:rsid w:val="1BEC4BF5"/>
    <w:rsid w:val="240B2444"/>
    <w:rsid w:val="261F3F85"/>
    <w:rsid w:val="282475D4"/>
    <w:rsid w:val="28B67E92"/>
    <w:rsid w:val="2B966A97"/>
    <w:rsid w:val="2CBA4A07"/>
    <w:rsid w:val="2EB270FE"/>
    <w:rsid w:val="2EC57807"/>
    <w:rsid w:val="32694BAE"/>
    <w:rsid w:val="36B66E8A"/>
    <w:rsid w:val="36BC7391"/>
    <w:rsid w:val="3C2123AD"/>
    <w:rsid w:val="471E4B74"/>
    <w:rsid w:val="479C4527"/>
    <w:rsid w:val="47DD142F"/>
    <w:rsid w:val="48500015"/>
    <w:rsid w:val="4AC344D3"/>
    <w:rsid w:val="4FBD515B"/>
    <w:rsid w:val="51A15E2A"/>
    <w:rsid w:val="51F37C7D"/>
    <w:rsid w:val="52A75A32"/>
    <w:rsid w:val="53863315"/>
    <w:rsid w:val="59215342"/>
    <w:rsid w:val="59276379"/>
    <w:rsid w:val="5B6D486F"/>
    <w:rsid w:val="5D7A7717"/>
    <w:rsid w:val="5E8944E7"/>
    <w:rsid w:val="696A2DF8"/>
    <w:rsid w:val="69EA7295"/>
    <w:rsid w:val="6A585A57"/>
    <w:rsid w:val="6BB36414"/>
    <w:rsid w:val="6E2C5927"/>
    <w:rsid w:val="6EF235B1"/>
    <w:rsid w:val="6EF42067"/>
    <w:rsid w:val="70BB2318"/>
    <w:rsid w:val="719C711B"/>
    <w:rsid w:val="7477511C"/>
    <w:rsid w:val="74844CAB"/>
    <w:rsid w:val="74C26CF1"/>
    <w:rsid w:val="79DE5E11"/>
    <w:rsid w:val="7A6202A1"/>
    <w:rsid w:val="7BD70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22"/>
    <w:rPr>
      <w:b/>
    </w:rPr>
  </w:style>
  <w:style w:type="character" w:styleId="9">
    <w:name w:val="page number"/>
    <w:basedOn w:val="7"/>
    <w:qFormat/>
    <w:uiPriority w:val="0"/>
  </w:style>
  <w:style w:type="paragraph" w:customStyle="1" w:styleId="1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1">
    <w:name w:val="页脚 Char"/>
    <w:basedOn w:val="7"/>
    <w:link w:val="3"/>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7198</Words>
  <Characters>7464</Characters>
  <Lines>13</Lines>
  <Paragraphs>3</Paragraphs>
  <TotalTime>46</TotalTime>
  <ScaleCrop>false</ScaleCrop>
  <LinksUpToDate>false</LinksUpToDate>
  <CharactersWithSpaces>7501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2022-07-27T06:10:00Z</dcterms:created>
  <dc:creator>xb21cn</dc:creator>
  <cp:lastModifiedBy>ZCM</cp:lastModifiedBy>
  <dcterms:modified xsi:type="dcterms:W3CDTF">2025-12-19T02:31:47Z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B368478FFD3C4A43899884E685E5AEE0_13</vt:lpwstr>
  </property>
  <property fmtid="{D5CDD505-2E9C-101B-9397-08002B2CF9AE}" pid="4" name="KSOTemplateDocerSaveRecord">
    <vt:lpwstr>eyJoZGlkIjoiZDMxYTA3ZWQ1NGIwZTNmY2Q1ZWM0MGRjM2Q0M2JhN2IiLCJ1c2VySWQiOiI2MjYzOTc5NzgifQ==</vt:lpwstr>
  </property>
</Properties>
</file>